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90ABF" w14:textId="3823DE12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4-11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47653">
                    <w:t>20.11.2024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62B0884B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CC64E8">
                <w:rPr>
                  <w:bCs/>
                </w:rPr>
                <w:t xml:space="preserve">Παράταση μέχρι 31.12.2025 των συμβάσεων του </w:t>
              </w:r>
              <w:r w:rsidR="00ED21E0">
                <w:rPr>
                  <w:bCs/>
                </w:rPr>
                <w:t xml:space="preserve">έκτακτου και </w:t>
              </w:r>
              <w:r w:rsidR="00CC64E8">
                <w:rPr>
                  <w:bCs/>
                </w:rPr>
                <w:t>επικουρικού προσωπικού στα Κέντρα Κοινωνικής Πρόνοιας- Διεκδικούμε άμεση μονιμοποίηση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5F51DD2B" w14:textId="1CFEDC12" w:rsidR="00846A07" w:rsidRDefault="00CC64E8" w:rsidP="00CC64E8">
              <w:r w:rsidRPr="00CC64E8">
                <w:t>Μετά από προσπάθειες και πιέσεις της ΕΣΑμεΑ και των φορέων</w:t>
              </w:r>
              <w:r>
                <w:t>/οργανώσεών</w:t>
              </w:r>
              <w:r w:rsidRPr="00CC64E8">
                <w:t xml:space="preserve"> της, πήρ</w:t>
              </w:r>
              <w:r>
                <w:t>αν</w:t>
              </w:r>
              <w:r w:rsidRPr="00CC64E8">
                <w:t xml:space="preserve"> </w:t>
              </w:r>
              <w:r w:rsidRPr="00CC64E8">
                <w:rPr>
                  <w:b/>
                  <w:bCs/>
                </w:rPr>
                <w:t xml:space="preserve">παράταση </w:t>
              </w:r>
              <w:r w:rsidRPr="00CC64E8">
                <w:t>έως</w:t>
              </w:r>
              <w:r>
                <w:t xml:space="preserve"> τις</w:t>
              </w:r>
              <w:r w:rsidRPr="00CC64E8">
                <w:t xml:space="preserve"> </w:t>
              </w:r>
              <w:r w:rsidRPr="00CC64E8">
                <w:rPr>
                  <w:b/>
                  <w:bCs/>
                </w:rPr>
                <w:t>31/12/2025</w:t>
              </w:r>
              <w:r w:rsidRPr="00CC64E8">
                <w:t xml:space="preserve"> με διάταξη που εισήχθη </w:t>
              </w:r>
              <w:r>
                <w:t xml:space="preserve">στο άρθρο 27 </w:t>
              </w:r>
              <w:r w:rsidRPr="00CC64E8">
                <w:t>στο σχέδιο νόμου του υπ. Υγείας</w:t>
              </w:r>
              <w:r>
                <w:t xml:space="preserve"> «Ρυθμίσεις για την ενίσχυση του Εθνικού Συστήματος Υγείας και την παρακολούθηση και αξιολόγηση της φαρμακευτικής δαπάνης», </w:t>
              </w:r>
              <w:r w:rsidRPr="00CC64E8">
                <w:rPr>
                  <w:b/>
                  <w:bCs/>
                </w:rPr>
                <w:t>οι συμβάσεις εργασίας του</w:t>
              </w:r>
              <w:r w:rsidR="00ED21E0">
                <w:rPr>
                  <w:b/>
                  <w:bCs/>
                </w:rPr>
                <w:t xml:space="preserve"> έκτακτου και</w:t>
              </w:r>
              <w:r w:rsidRPr="00CC64E8">
                <w:rPr>
                  <w:b/>
                  <w:bCs/>
                </w:rPr>
                <w:t xml:space="preserve"> επικουρικού προσωπικού</w:t>
              </w:r>
              <w:r>
                <w:t xml:space="preserve"> που είχε προσληφθεί στα </w:t>
              </w:r>
              <w:r w:rsidRPr="00CC64E8">
                <w:rPr>
                  <w:b/>
                  <w:bCs/>
                </w:rPr>
                <w:t>Κέντρα Κοινωνικής Πρόνοιας</w:t>
              </w:r>
              <w:r>
                <w:t xml:space="preserve"> για την αντιμετώπιση έκτακτων αναγκών από την εμφάνιση και διασπορά του κορωνοϊού COVID-19.</w:t>
              </w:r>
            </w:p>
            <w:p w14:paraId="0C3786BA" w14:textId="67015A4F" w:rsidR="00CC64E8" w:rsidRDefault="00CC64E8" w:rsidP="00CC64E8">
              <w:r>
                <w:t>Το νομοσχέδιο αναμένεται να ψηφισθεί τις επόμενες μέρες από τη Βουλή των Ελλήνων.</w:t>
              </w:r>
            </w:p>
            <w:p w14:paraId="178A0A4F" w14:textId="77777777" w:rsidR="00CC64E8" w:rsidRPr="00CC64E8" w:rsidRDefault="00CC64E8" w:rsidP="00CC64E8">
              <w:r w:rsidRPr="00CC64E8">
                <w:t>Η ΕΣΑμεΑ έχει δημοσιεύσει επανειλημμένα τα </w:t>
              </w:r>
              <w:r w:rsidRPr="00CC64E8">
                <w:rPr>
                  <w:b/>
                  <w:bCs/>
                </w:rPr>
                <w:t>σοβαρά προβλήματα υποστελέχωσης</w:t>
              </w:r>
              <w:r w:rsidRPr="00CC64E8">
                <w:t> που αντιμετωπίζουν τα Κέντρα Κοινωνικής Πρόνοιας σε ολόκληρη τη χώρα, τα οποία επιδεινώνονται εξαιτίας της λήξης των συμβάσεων εργασίας ορισμένου χρόνου του έκτακτου και επικουρικού προσωπικού που εργάζονται σε αυτά.</w:t>
              </w:r>
            </w:p>
            <w:p w14:paraId="7EFA5B5D" w14:textId="5EB39932" w:rsidR="00CC64E8" w:rsidRDefault="00CC64E8" w:rsidP="00CC64E8">
              <w:r w:rsidRPr="00CC64E8">
                <w:t>Απαραίτητη προϋπόθεση για να συνεχίσουν τα Κέντρα Κοινωνικής Πρόνοιας να παρέχουν με ασφάλεια και επάρκεια τις πολύ σημαντικές υπηρεσίες τους στα άτομα με βαριές αναπηρίες κα</w:t>
              </w:r>
              <w:r w:rsidR="00ED21E0">
                <w:t xml:space="preserve">ι </w:t>
              </w:r>
              <w:r w:rsidRPr="00CC64E8">
                <w:t>χρόνιες</w:t>
              </w:r>
              <w:r w:rsidR="00ED21E0">
                <w:t xml:space="preserve">/σπάνιες </w:t>
              </w:r>
              <w:r w:rsidRPr="00CC64E8">
                <w:t xml:space="preserve"> παθήσεις που περιθάλπονται σε αυτά, κρίνεται </w:t>
              </w:r>
              <w:r w:rsidRPr="00CC64E8">
                <w:rPr>
                  <w:b/>
                  <w:bCs/>
                </w:rPr>
                <w:t>απαραίτητη η μονιμοποίηση</w:t>
              </w:r>
              <w:r w:rsidRPr="00CC64E8">
                <w:t xml:space="preserve"> των </w:t>
              </w:r>
              <w:r>
                <w:t>σ</w:t>
              </w:r>
              <w:r w:rsidRPr="00CC64E8">
                <w:t>υμβάσεων του έκτακτου κι επικουρικού προσωπικού, λαμβάνοντας υπόψη ότι η προσφορά τους είναι αδιαμφισβήτητα σημαντική, αφού καλύπτουν πάγιες και διαρκείς ανάγκες των δομών των Κέντρων Κοινωνικής Πρόνοιας σε κάθε Περιφέρεια της χώρας.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2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3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D1E8E" w14:textId="77777777" w:rsidR="001F739C" w:rsidRDefault="001F739C" w:rsidP="00A5663B">
      <w:pPr>
        <w:spacing w:after="0" w:line="240" w:lineRule="auto"/>
      </w:pPr>
      <w:r>
        <w:separator/>
      </w:r>
    </w:p>
    <w:p w14:paraId="2089ECAE" w14:textId="77777777" w:rsidR="001F739C" w:rsidRDefault="001F739C"/>
  </w:endnote>
  <w:endnote w:type="continuationSeparator" w:id="0">
    <w:p w14:paraId="30434BD0" w14:textId="77777777" w:rsidR="001F739C" w:rsidRDefault="001F739C" w:rsidP="00A5663B">
      <w:pPr>
        <w:spacing w:after="0" w:line="240" w:lineRule="auto"/>
      </w:pPr>
      <w:r>
        <w:continuationSeparator/>
      </w:r>
    </w:p>
    <w:p w14:paraId="20C03B7D" w14:textId="77777777" w:rsidR="001F739C" w:rsidRDefault="001F7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9AB6C" w14:textId="77777777" w:rsidR="001F739C" w:rsidRDefault="001F739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2924AD8" w14:textId="77777777" w:rsidR="001F739C" w:rsidRDefault="001F739C"/>
  </w:footnote>
  <w:footnote w:type="continuationSeparator" w:id="0">
    <w:p w14:paraId="06FBD7EF" w14:textId="77777777" w:rsidR="001F739C" w:rsidRDefault="001F739C" w:rsidP="00A5663B">
      <w:pPr>
        <w:spacing w:after="0" w:line="240" w:lineRule="auto"/>
      </w:pPr>
      <w:r>
        <w:continuationSeparator/>
      </w:r>
    </w:p>
    <w:p w14:paraId="0697A3F3" w14:textId="77777777" w:rsidR="001F739C" w:rsidRDefault="001F7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793215020" name="Εικόνα 7932150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6"/>
  </w:num>
  <w:num w:numId="2" w16cid:durableId="513492185">
    <w:abstractNumId w:val="6"/>
  </w:num>
  <w:num w:numId="3" w16cid:durableId="591400601">
    <w:abstractNumId w:val="6"/>
  </w:num>
  <w:num w:numId="4" w16cid:durableId="1143305377">
    <w:abstractNumId w:val="6"/>
  </w:num>
  <w:num w:numId="5" w16cid:durableId="1814059642">
    <w:abstractNumId w:val="6"/>
  </w:num>
  <w:num w:numId="6" w16cid:durableId="2110739655">
    <w:abstractNumId w:val="6"/>
  </w:num>
  <w:num w:numId="7" w16cid:durableId="1138381866">
    <w:abstractNumId w:val="6"/>
  </w:num>
  <w:num w:numId="8" w16cid:durableId="819808856">
    <w:abstractNumId w:val="6"/>
  </w:num>
  <w:num w:numId="9" w16cid:durableId="1882670088">
    <w:abstractNumId w:val="6"/>
  </w:num>
  <w:num w:numId="10" w16cid:durableId="31850676">
    <w:abstractNumId w:val="5"/>
  </w:num>
  <w:num w:numId="11" w16cid:durableId="1103309027">
    <w:abstractNumId w:val="4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1F739C"/>
    <w:rsid w:val="002058AF"/>
    <w:rsid w:val="00220D9A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C5FB9"/>
    <w:rsid w:val="006D0554"/>
    <w:rsid w:val="006D6D64"/>
    <w:rsid w:val="006E2A55"/>
    <w:rsid w:val="006E692F"/>
    <w:rsid w:val="006E6B93"/>
    <w:rsid w:val="006F050F"/>
    <w:rsid w:val="006F68D0"/>
    <w:rsid w:val="006F77ED"/>
    <w:rsid w:val="0072145A"/>
    <w:rsid w:val="007244DB"/>
    <w:rsid w:val="00725A6D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59F5"/>
    <w:rsid w:val="00CC62E9"/>
    <w:rsid w:val="00CC64E8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47653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D21E0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72EC"/>
    <w:rsid w:val="003A404D"/>
    <w:rsid w:val="003F6A20"/>
    <w:rsid w:val="004565DB"/>
    <w:rsid w:val="004B3087"/>
    <w:rsid w:val="00550D21"/>
    <w:rsid w:val="00597137"/>
    <w:rsid w:val="005C377D"/>
    <w:rsid w:val="005E1B4F"/>
    <w:rsid w:val="0062639A"/>
    <w:rsid w:val="00675BCA"/>
    <w:rsid w:val="006E2A55"/>
    <w:rsid w:val="007253D0"/>
    <w:rsid w:val="00765838"/>
    <w:rsid w:val="007902BF"/>
    <w:rsid w:val="008265F0"/>
    <w:rsid w:val="00852885"/>
    <w:rsid w:val="008A220B"/>
    <w:rsid w:val="009E0370"/>
    <w:rsid w:val="00A64B3C"/>
    <w:rsid w:val="00A83EFD"/>
    <w:rsid w:val="00AE3FD8"/>
    <w:rsid w:val="00AE4F09"/>
    <w:rsid w:val="00D1211F"/>
    <w:rsid w:val="00D751A3"/>
    <w:rsid w:val="00E8302B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1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2024-11-20T11:45:00Z</dcterms:created>
  <dcterms:modified xsi:type="dcterms:W3CDTF">2024-11-20T11:45:00Z</dcterms:modified>
  <cp:contentStatus/>
  <dc:language>Ελληνικά</dc:language>
  <cp:version>am-20180624</cp:version>
</cp:coreProperties>
</file>