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13414" w14:textId="72F73D6C" w:rsidR="007D51AE" w:rsidRDefault="00BB3BD2" w:rsidP="008010AF">
      <w:pPr>
        <w:spacing w:before="240"/>
        <w:ind w:right="-1"/>
        <w:jc w:val="center"/>
        <w:rPr>
          <w:b/>
          <w:lang w:val="el-GR"/>
        </w:rPr>
      </w:pPr>
      <w:r>
        <w:rPr>
          <w:noProof/>
        </w:rPr>
        <w:drawing>
          <wp:inline distT="0" distB="0" distL="0" distR="0" wp14:anchorId="4B362F80" wp14:editId="60628471">
            <wp:extent cx="5239910" cy="494927"/>
            <wp:effectExtent l="0" t="0" r="0" b="635"/>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p w14:paraId="4897C51F" w14:textId="3DB681F2" w:rsidR="007D51AE" w:rsidRPr="00A93FE8" w:rsidRDefault="00000000">
      <w:pPr>
        <w:spacing w:before="240"/>
        <w:ind w:left="426" w:right="-1"/>
        <w:jc w:val="right"/>
        <w:rPr>
          <w:b/>
          <w:lang w:val="el-GR"/>
        </w:rPr>
      </w:pPr>
      <w:r w:rsidRPr="000655AA">
        <w:rPr>
          <w:b/>
          <w:lang w:val="el-GR"/>
        </w:rPr>
        <w:t xml:space="preserve">Αθήνα: </w:t>
      </w:r>
      <w:r w:rsidR="000655AA" w:rsidRPr="000655AA">
        <w:rPr>
          <w:b/>
          <w:lang w:val="el-GR"/>
        </w:rPr>
        <w:t>27</w:t>
      </w:r>
      <w:r w:rsidR="00D339D2" w:rsidRPr="000655AA">
        <w:rPr>
          <w:b/>
          <w:lang w:val="el-GR"/>
        </w:rPr>
        <w:t>/</w:t>
      </w:r>
      <w:r w:rsidR="000655AA" w:rsidRPr="000655AA">
        <w:rPr>
          <w:b/>
          <w:lang w:val="el-GR"/>
        </w:rPr>
        <w:t>12</w:t>
      </w:r>
      <w:r w:rsidR="00D339D2" w:rsidRPr="000655AA">
        <w:rPr>
          <w:b/>
          <w:lang w:val="el-GR"/>
        </w:rPr>
        <w:t>/</w:t>
      </w:r>
      <w:r w:rsidR="00F438A1" w:rsidRPr="000655AA">
        <w:rPr>
          <w:b/>
          <w:lang w:val="el-GR"/>
        </w:rPr>
        <w:t>2024</w:t>
      </w:r>
    </w:p>
    <w:p w14:paraId="16C1AAF4" w14:textId="6B0A1911" w:rsidR="00375C70" w:rsidRPr="00375C70" w:rsidRDefault="00000000" w:rsidP="007F7EFE">
      <w:pPr>
        <w:pStyle w:val="af0"/>
        <w:spacing w:after="120"/>
        <w:contextualSpacing w:val="0"/>
        <w:jc w:val="center"/>
        <w:rPr>
          <w:b/>
          <w:bCs/>
          <w:color w:val="0075B0"/>
          <w:sz w:val="36"/>
          <w:szCs w:val="36"/>
          <w:lang w:val="el-GR"/>
        </w:rPr>
      </w:pPr>
      <w:r w:rsidRPr="00375C70">
        <w:rPr>
          <w:b/>
          <w:bCs/>
          <w:color w:val="0075B0"/>
          <w:sz w:val="52"/>
          <w:szCs w:val="52"/>
          <w:lang w:val="el-GR"/>
        </w:rPr>
        <w:t>Δ</w:t>
      </w:r>
      <w:r w:rsidRPr="00375C70">
        <w:rPr>
          <w:b/>
          <w:bCs/>
          <w:color w:val="0075B0"/>
          <w:sz w:val="36"/>
          <w:szCs w:val="36"/>
          <w:lang w:val="el-GR"/>
        </w:rPr>
        <w:t xml:space="preserve">ΕΛΤΙΟ </w:t>
      </w:r>
      <w:r w:rsidRPr="00F1419A">
        <w:rPr>
          <w:b/>
          <w:bCs/>
          <w:color w:val="0075B0"/>
          <w:sz w:val="52"/>
          <w:szCs w:val="52"/>
          <w:lang w:val="el-GR"/>
        </w:rPr>
        <w:t>Σ</w:t>
      </w:r>
      <w:r w:rsidRPr="00F1419A">
        <w:rPr>
          <w:b/>
          <w:bCs/>
          <w:color w:val="0075B0"/>
          <w:sz w:val="36"/>
          <w:szCs w:val="36"/>
          <w:lang w:val="el-GR"/>
        </w:rPr>
        <w:t>ΤΑΤΙΣΤΙΚΗΣ</w:t>
      </w:r>
      <w:r w:rsidRPr="00375C70">
        <w:rPr>
          <w:b/>
          <w:bCs/>
          <w:color w:val="0075B0"/>
          <w:sz w:val="36"/>
          <w:szCs w:val="36"/>
          <w:lang w:val="el-GR"/>
        </w:rPr>
        <w:t xml:space="preserve"> </w:t>
      </w:r>
      <w:r w:rsidRPr="00375C70">
        <w:rPr>
          <w:b/>
          <w:bCs/>
          <w:color w:val="0075B0"/>
          <w:sz w:val="52"/>
          <w:szCs w:val="52"/>
          <w:lang w:val="el-GR"/>
        </w:rPr>
        <w:t>Π</w:t>
      </w:r>
      <w:r w:rsidRPr="00375C70">
        <w:rPr>
          <w:b/>
          <w:bCs/>
          <w:color w:val="0075B0"/>
          <w:sz w:val="36"/>
          <w:szCs w:val="36"/>
          <w:lang w:val="el-GR"/>
        </w:rPr>
        <w:t>ΛΗΡΟΦΟΡΗΣΗΣ</w:t>
      </w:r>
    </w:p>
    <w:p w14:paraId="3EDC7F10" w14:textId="6F1FF25D" w:rsidR="00375C70" w:rsidRPr="00F1419A" w:rsidRDefault="00375C70" w:rsidP="00375C70">
      <w:pPr>
        <w:spacing w:after="0"/>
        <w:jc w:val="center"/>
        <w:rPr>
          <w:color w:val="0075B0"/>
          <w:sz w:val="28"/>
          <w:szCs w:val="28"/>
          <w:lang w:val="el-GR"/>
        </w:rPr>
      </w:pPr>
      <w:r w:rsidRPr="00F1419A">
        <w:rPr>
          <w:color w:val="0075B0"/>
          <w:sz w:val="28"/>
          <w:szCs w:val="28"/>
          <w:lang w:val="el-GR"/>
        </w:rPr>
        <w:t>[2024</w:t>
      </w:r>
      <w:r w:rsidR="00093E9D" w:rsidRPr="000655AA">
        <w:rPr>
          <w:color w:val="0075B0"/>
          <w:sz w:val="28"/>
          <w:szCs w:val="28"/>
          <w:lang w:val="el-GR"/>
        </w:rPr>
        <w:t xml:space="preserve"> </w:t>
      </w:r>
      <w:r w:rsidR="00093E9D" w:rsidRPr="00F1419A">
        <w:rPr>
          <w:color w:val="0075B0"/>
          <w:sz w:val="28"/>
          <w:szCs w:val="28"/>
          <w:lang w:val="el-GR"/>
        </w:rPr>
        <w:sym w:font="Wingdings" w:char="F09F"/>
      </w:r>
      <w:r w:rsidR="00093E9D" w:rsidRPr="000655AA">
        <w:rPr>
          <w:color w:val="0075B0"/>
          <w:sz w:val="28"/>
          <w:szCs w:val="28"/>
          <w:lang w:val="el-GR"/>
        </w:rPr>
        <w:t xml:space="preserve"> </w:t>
      </w:r>
      <w:r w:rsidR="00843977" w:rsidRPr="00F1419A">
        <w:rPr>
          <w:color w:val="0075B0"/>
          <w:sz w:val="28"/>
          <w:szCs w:val="28"/>
          <w:lang w:val="el-GR"/>
        </w:rPr>
        <w:t>3</w:t>
      </w:r>
      <w:r w:rsidRPr="00F1419A">
        <w:rPr>
          <w:color w:val="0075B0"/>
          <w:sz w:val="28"/>
          <w:szCs w:val="28"/>
          <w:vertAlign w:val="superscript"/>
          <w:lang w:val="el-GR"/>
        </w:rPr>
        <w:t xml:space="preserve">ο </w:t>
      </w:r>
      <w:r w:rsidRPr="00F1419A">
        <w:rPr>
          <w:color w:val="0075B0"/>
          <w:sz w:val="28"/>
          <w:szCs w:val="28"/>
          <w:lang w:val="el-GR"/>
        </w:rPr>
        <w:t>ΔΕΛΤΙΟ]</w:t>
      </w:r>
    </w:p>
    <w:p w14:paraId="57E6C8A3" w14:textId="77777777" w:rsidR="00093E9D" w:rsidRPr="000655AA" w:rsidRDefault="00093E9D" w:rsidP="007F7EFE">
      <w:pPr>
        <w:spacing w:after="0" w:line="240" w:lineRule="auto"/>
        <w:jc w:val="center"/>
        <w:rPr>
          <w:b/>
          <w:bCs/>
          <w:sz w:val="30"/>
          <w:szCs w:val="30"/>
          <w:lang w:val="el-GR"/>
        </w:rPr>
      </w:pPr>
    </w:p>
    <w:p w14:paraId="4FBD1C0D" w14:textId="4BAC029C" w:rsidR="00375C70" w:rsidRPr="00375C70" w:rsidRDefault="00000000" w:rsidP="00375C70">
      <w:pPr>
        <w:jc w:val="center"/>
        <w:rPr>
          <w:b/>
          <w:bCs/>
          <w:sz w:val="30"/>
          <w:szCs w:val="30"/>
          <w:lang w:val="el-GR"/>
        </w:rPr>
      </w:pPr>
      <w:r w:rsidRPr="00C10021">
        <w:rPr>
          <w:b/>
          <w:bCs/>
          <w:sz w:val="30"/>
          <w:szCs w:val="30"/>
          <w:lang w:val="el-GR"/>
        </w:rPr>
        <w:t>«</w:t>
      </w:r>
      <w:r w:rsidR="00843977" w:rsidRPr="00843977">
        <w:rPr>
          <w:b/>
          <w:bCs/>
          <w:sz w:val="30"/>
          <w:szCs w:val="30"/>
          <w:lang w:val="el-GR"/>
        </w:rPr>
        <w:t>ΦΤΩΧΕΙΑ ΚΑΙ ΚΟΙΝΩΝΙΚΟΣ ΑΠΟΚΛΕΙΣΜΟΣ ΣΤΑ ΑΤΟΜΑ ΜΕ ΑΝΑΠΗΡΙΑ</w:t>
      </w:r>
      <w:r w:rsidRPr="00C10021">
        <w:rPr>
          <w:b/>
          <w:bCs/>
          <w:sz w:val="30"/>
          <w:szCs w:val="30"/>
          <w:lang w:val="el-GR"/>
        </w:rPr>
        <w:t>»</w:t>
      </w:r>
    </w:p>
    <w:p w14:paraId="198658EA" w14:textId="29849A9A" w:rsidR="00E35FF0" w:rsidRPr="003C7725" w:rsidRDefault="00E35FF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z w:val="24"/>
          <w:szCs w:val="24"/>
          <w:lang w:val="el-GR"/>
        </w:rPr>
      </w:pPr>
    </w:p>
    <w:p w14:paraId="530AFAB9" w14:textId="6E6513B6" w:rsidR="005A5477" w:rsidRPr="00375C70" w:rsidRDefault="0000000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r w:rsidRPr="00375C70">
        <w:rPr>
          <w:spacing w:val="-2"/>
          <w:sz w:val="24"/>
          <w:szCs w:val="24"/>
          <w:lang w:val="el-GR"/>
        </w:rPr>
        <w:t>Τ</w:t>
      </w:r>
      <w:r w:rsidR="00A95E35" w:rsidRPr="00375C70">
        <w:rPr>
          <w:spacing w:val="-2"/>
          <w:sz w:val="24"/>
          <w:szCs w:val="24"/>
          <w:lang w:val="el-GR"/>
        </w:rPr>
        <w:t xml:space="preserve">α </w:t>
      </w:r>
      <w:r w:rsidR="00D339D2" w:rsidRPr="00375C70">
        <w:rPr>
          <w:spacing w:val="-2"/>
          <w:sz w:val="24"/>
          <w:szCs w:val="24"/>
          <w:lang w:val="el-GR"/>
        </w:rPr>
        <w:t>Δ</w:t>
      </w:r>
      <w:r w:rsidR="00A95E35" w:rsidRPr="00375C70">
        <w:rPr>
          <w:spacing w:val="-2"/>
          <w:sz w:val="24"/>
          <w:szCs w:val="24"/>
          <w:lang w:val="el-GR"/>
        </w:rPr>
        <w:t xml:space="preserve">ελτία </w:t>
      </w:r>
      <w:r w:rsidR="00D339D2" w:rsidRPr="00375C70">
        <w:rPr>
          <w:spacing w:val="-2"/>
          <w:sz w:val="24"/>
          <w:szCs w:val="24"/>
          <w:lang w:val="el-GR"/>
        </w:rPr>
        <w:t>Σ</w:t>
      </w:r>
      <w:r w:rsidR="00A95E35" w:rsidRPr="00375C70">
        <w:rPr>
          <w:spacing w:val="-2"/>
          <w:sz w:val="24"/>
          <w:szCs w:val="24"/>
          <w:lang w:val="el-GR"/>
        </w:rPr>
        <w:t xml:space="preserve">τατιστικής </w:t>
      </w:r>
      <w:r w:rsidR="00D339D2" w:rsidRPr="00375C70">
        <w:rPr>
          <w:spacing w:val="-2"/>
          <w:sz w:val="24"/>
          <w:szCs w:val="24"/>
          <w:lang w:val="el-GR"/>
        </w:rPr>
        <w:t>Π</w:t>
      </w:r>
      <w:r w:rsidR="00A95E35" w:rsidRPr="00375C70">
        <w:rPr>
          <w:spacing w:val="-2"/>
          <w:sz w:val="24"/>
          <w:szCs w:val="24"/>
          <w:lang w:val="el-GR"/>
        </w:rPr>
        <w:t xml:space="preserve">ληροφόρησης της Εθνικής Συνομοσπονδίας ατόμων με αναπηρία </w:t>
      </w:r>
      <w:r w:rsidR="000A7708" w:rsidRPr="00375C70">
        <w:rPr>
          <w:spacing w:val="-2"/>
          <w:sz w:val="24"/>
          <w:szCs w:val="24"/>
          <w:lang w:val="el-GR"/>
        </w:rPr>
        <w:t>(Ε.Σ.Α.μεΑ.)</w:t>
      </w:r>
      <w:r w:rsidR="00375C70" w:rsidRPr="00375C70">
        <w:rPr>
          <w:spacing w:val="-2"/>
          <w:sz w:val="24"/>
          <w:szCs w:val="24"/>
          <w:lang w:val="el-GR"/>
        </w:rPr>
        <w:t xml:space="preserve"> </w:t>
      </w:r>
      <w:r w:rsidR="007564FF" w:rsidRPr="00375C70">
        <w:rPr>
          <w:spacing w:val="-2"/>
          <w:sz w:val="24"/>
          <w:szCs w:val="24"/>
          <w:lang w:val="el-GR"/>
        </w:rPr>
        <w:t>εντάσσονται στο</w:t>
      </w:r>
      <w:r w:rsidRPr="00375C70">
        <w:rPr>
          <w:spacing w:val="-2"/>
          <w:sz w:val="24"/>
          <w:szCs w:val="24"/>
          <w:lang w:val="el-GR"/>
        </w:rPr>
        <w:t xml:space="preserve"> </w:t>
      </w:r>
      <w:r w:rsidR="00A95E35" w:rsidRPr="00375C70">
        <w:rPr>
          <w:spacing w:val="-2"/>
          <w:sz w:val="24"/>
          <w:szCs w:val="24"/>
          <w:lang w:val="el-GR"/>
        </w:rPr>
        <w:t>Έργο «</w:t>
      </w:r>
      <w:r w:rsidRPr="00375C70">
        <w:rPr>
          <w:spacing w:val="-2"/>
          <w:sz w:val="24"/>
          <w:szCs w:val="24"/>
          <w:lang w:val="el-GR"/>
        </w:rPr>
        <w:t>Παρατηρητήριο Θεμάτων Αναπηρίας</w:t>
      </w:r>
      <w:r w:rsidR="00A95E35" w:rsidRPr="00375C70">
        <w:rPr>
          <w:spacing w:val="-2"/>
          <w:sz w:val="24"/>
          <w:szCs w:val="24"/>
          <w:lang w:val="el-GR"/>
        </w:rPr>
        <w:t>»</w:t>
      </w:r>
      <w:r w:rsidRPr="00375C70">
        <w:rPr>
          <w:spacing w:val="-2"/>
          <w:sz w:val="24"/>
          <w:szCs w:val="24"/>
          <w:lang w:val="el-GR"/>
        </w:rPr>
        <w:t xml:space="preserve"> </w:t>
      </w:r>
      <w:r w:rsidR="00B25ECB" w:rsidRPr="00375C70">
        <w:rPr>
          <w:spacing w:val="-2"/>
          <w:sz w:val="24"/>
          <w:szCs w:val="24"/>
          <w:lang w:val="el-GR"/>
        </w:rPr>
        <w:t>που χρηματοδοτ</w:t>
      </w:r>
      <w:r w:rsidR="007564FF" w:rsidRPr="00375C70">
        <w:rPr>
          <w:spacing w:val="-2"/>
          <w:sz w:val="24"/>
          <w:szCs w:val="24"/>
          <w:lang w:val="el-GR"/>
        </w:rPr>
        <w:t>είται</w:t>
      </w:r>
      <w:r w:rsidR="00B25ECB" w:rsidRPr="00375C70">
        <w:rPr>
          <w:spacing w:val="-2"/>
          <w:sz w:val="24"/>
          <w:szCs w:val="24"/>
          <w:lang w:val="el-GR"/>
        </w:rPr>
        <w:t xml:space="preserve"> από το Ευρωπαϊκό Κοινωνικό Ταμείο</w:t>
      </w:r>
      <w:r w:rsidR="00D339D2" w:rsidRPr="00375C70">
        <w:rPr>
          <w:spacing w:val="-2"/>
          <w:sz w:val="24"/>
          <w:szCs w:val="24"/>
          <w:lang w:val="el-GR"/>
        </w:rPr>
        <w:t xml:space="preserve"> και από εθνικούς πόρους</w:t>
      </w:r>
      <w:r w:rsidR="00B25ECB" w:rsidRPr="00375C70">
        <w:rPr>
          <w:spacing w:val="-2"/>
          <w:sz w:val="24"/>
          <w:szCs w:val="24"/>
          <w:lang w:val="el-GR"/>
        </w:rPr>
        <w:t>,</w:t>
      </w:r>
      <w:r w:rsidRPr="00375C70">
        <w:rPr>
          <w:spacing w:val="-2"/>
          <w:sz w:val="24"/>
          <w:szCs w:val="24"/>
          <w:lang w:val="el-GR"/>
        </w:rPr>
        <w:t xml:space="preserve"> με αντικείμενο την επιστημονική καταγραφή, τη μελέτη και την έρευνα σε θέματα αναπηρίας</w:t>
      </w:r>
      <w:r w:rsidR="00A95E35" w:rsidRPr="00375C70">
        <w:rPr>
          <w:spacing w:val="-2"/>
          <w:sz w:val="24"/>
          <w:szCs w:val="24"/>
          <w:lang w:val="el-GR"/>
        </w:rPr>
        <w:t>.</w:t>
      </w:r>
    </w:p>
    <w:p w14:paraId="1DCDC293" w14:textId="3CA0C975" w:rsidR="00DF11A4" w:rsidRPr="00375C70" w:rsidRDefault="00A95E35"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r w:rsidRPr="00375C70">
        <w:rPr>
          <w:spacing w:val="-2"/>
          <w:sz w:val="24"/>
          <w:szCs w:val="24"/>
          <w:lang w:val="el-GR"/>
        </w:rPr>
        <w:t xml:space="preserve">Στόχος του Έργου </w:t>
      </w:r>
      <w:r w:rsidR="007564FF" w:rsidRPr="00375C70">
        <w:rPr>
          <w:spacing w:val="-2"/>
          <w:sz w:val="24"/>
          <w:szCs w:val="24"/>
          <w:lang w:val="el-GR"/>
        </w:rPr>
        <w:t xml:space="preserve">αποτελεί </w:t>
      </w:r>
      <w:r w:rsidRPr="00375C70">
        <w:rPr>
          <w:spacing w:val="-2"/>
          <w:sz w:val="24"/>
          <w:szCs w:val="24"/>
          <w:lang w:val="el-GR"/>
        </w:rPr>
        <w:t>η καθιέρωση του Παρατηρητηρίου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συ</w:t>
      </w:r>
      <w:r w:rsidR="007564FF" w:rsidRPr="00375C70">
        <w:rPr>
          <w:spacing w:val="-2"/>
          <w:sz w:val="24"/>
          <w:szCs w:val="24"/>
          <w:lang w:val="el-GR"/>
        </w:rPr>
        <w:t>μβάλλει</w:t>
      </w:r>
      <w:r w:rsidRPr="00375C70">
        <w:rPr>
          <w:spacing w:val="-2"/>
          <w:sz w:val="24"/>
          <w:szCs w:val="24"/>
          <w:lang w:val="el-GR"/>
        </w:rPr>
        <w:t xml:space="preserve"> στην παρακολούθηση, στην προστασία και στην προώθηση των δικαιωμάτων των ατόμων με αναπηρία, χρόνιες παθήσεις και των οικογενειών </w:t>
      </w:r>
      <w:r w:rsidR="00E35FF0" w:rsidRPr="00375C70">
        <w:rPr>
          <w:spacing w:val="-2"/>
          <w:sz w:val="24"/>
          <w:szCs w:val="24"/>
          <w:lang w:val="el-GR"/>
        </w:rPr>
        <w:t>τους.</w:t>
      </w:r>
    </w:p>
    <w:p w14:paraId="28870E1A" w14:textId="5971B20A" w:rsidR="007D51AE" w:rsidRPr="00375C70" w:rsidRDefault="0000000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r w:rsidRPr="00375C70">
        <w:rPr>
          <w:spacing w:val="-2"/>
          <w:sz w:val="24"/>
          <w:szCs w:val="24"/>
          <w:lang w:val="el-GR"/>
        </w:rPr>
        <w:t>Με τον νόμο 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διαβούλευση με το Παρατηρητήριο Θεμάτων Αναπηρίας της Εθνικής Συνομοσπονδίας Ατόμων με Αναπηρία</w:t>
      </w:r>
      <w:r w:rsidR="00EB3103" w:rsidRPr="00375C70">
        <w:rPr>
          <w:spacing w:val="-2"/>
          <w:sz w:val="24"/>
          <w:szCs w:val="24"/>
          <w:lang w:val="el-GR"/>
        </w:rPr>
        <w:t>.</w:t>
      </w:r>
    </w:p>
    <w:p w14:paraId="64EA2E92" w14:textId="5B007253" w:rsidR="007D51AE" w:rsidRDefault="00A95E35"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r w:rsidRPr="00375C70">
        <w:rPr>
          <w:spacing w:val="-2"/>
          <w:sz w:val="24"/>
          <w:szCs w:val="24"/>
          <w:lang w:val="el-GR"/>
        </w:rPr>
        <w:t>Σε αυτό το πλαίσιο συντάσσονται και δημοσιεύονται, ανά τακτά χρονικά διαστήματα, δελτία στατιστικής πληροφόρησης αφιερωμένα σε συγκριμένα θεματικά πεδία, όπου παρουσιάζονται τα σημαντικότερα ευρήματα και τάσεις όπως αυτά προκύπτουν μέσω της επεξεργασίας των διαθέσιμων στατιστικών στοιχείων.</w:t>
      </w:r>
    </w:p>
    <w:p w14:paraId="5C1B4946" w14:textId="74402426" w:rsidR="00375C70" w:rsidRPr="00375C70" w:rsidRDefault="00375C7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2"/>
          <w:sz w:val="24"/>
          <w:szCs w:val="24"/>
          <w:lang w:val="el-GR"/>
        </w:rPr>
      </w:pPr>
    </w:p>
    <w:p w14:paraId="5658F0D6" w14:textId="5906D4D8" w:rsidR="00E35FF0" w:rsidRPr="003C7725" w:rsidRDefault="00E35FF0" w:rsidP="003C7725">
      <w:pPr>
        <w:pBdr>
          <w:top w:val="single" w:sz="12" w:space="1" w:color="auto"/>
          <w:left w:val="single" w:sz="12" w:space="4" w:color="auto"/>
          <w:bottom w:val="single" w:sz="48" w:space="31" w:color="auto"/>
          <w:right w:val="single" w:sz="12" w:space="4" w:color="auto"/>
        </w:pBdr>
        <w:shd w:val="clear" w:color="auto" w:fill="EBF1DE"/>
        <w:spacing w:line="240" w:lineRule="auto"/>
        <w:ind w:right="-1"/>
        <w:rPr>
          <w:i/>
          <w:iCs/>
          <w:lang w:val="el-GR"/>
        </w:rPr>
      </w:pPr>
      <w:r w:rsidRPr="003C7725">
        <w:rPr>
          <w:i/>
          <w:iCs/>
          <w:lang w:val="el-GR"/>
        </w:rPr>
        <w:t xml:space="preserve">Για περισσότερες πληροφορίες για το Έργο, απευθυνθείτε στην Ιστοσελίδα του Έργου: </w:t>
      </w:r>
      <w:hyperlink r:id="rId8" w:tooltip="Επίσημη Ιστοσελίδα της Πράξης " w:history="1">
        <w:r w:rsidRPr="003C7725">
          <w:rPr>
            <w:rStyle w:val="-0"/>
            <w:i/>
            <w:iCs/>
            <w:lang w:val="el-GR"/>
          </w:rPr>
          <w:t>www.paratiritirioanapirias.gr</w:t>
        </w:r>
      </w:hyperlink>
      <w:r w:rsidRPr="003C7725">
        <w:rPr>
          <w:i/>
          <w:iCs/>
          <w:lang w:val="el-GR"/>
        </w:rPr>
        <w:t>)</w:t>
      </w:r>
    </w:p>
    <w:p w14:paraId="12C5DC30" w14:textId="7515EDBC" w:rsidR="007D51AE" w:rsidRDefault="00000000">
      <w:pPr>
        <w:rPr>
          <w:highlight w:val="yellow"/>
          <w:lang w:val="el-GR"/>
        </w:rPr>
      </w:pPr>
      <w:r>
        <w:rPr>
          <w:highlight w:val="yellow"/>
          <w:lang w:val="el-GR"/>
        </w:rPr>
        <w:br w:type="page"/>
      </w: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Content>
        <w:p w14:paraId="585E05D2" w14:textId="77777777" w:rsidR="007D51AE" w:rsidRPr="00DF11A4" w:rsidRDefault="00000000">
          <w:pPr>
            <w:pStyle w:val="13"/>
            <w:numPr>
              <w:ilvl w:val="0"/>
              <w:numId w:val="0"/>
            </w:numPr>
            <w:spacing w:after="240"/>
            <w:jc w:val="center"/>
            <w:rPr>
              <w:rFonts w:cstheme="majorHAnsi"/>
              <w:color w:val="000000" w:themeColor="text1"/>
              <w:lang w:val="el-GR"/>
            </w:rPr>
          </w:pPr>
          <w:r w:rsidRPr="00DF11A4">
            <w:rPr>
              <w:rFonts w:cstheme="majorHAnsi"/>
              <w:color w:val="000000" w:themeColor="text1"/>
              <w:u w:val="single"/>
              <w:lang w:val="el-GR"/>
            </w:rPr>
            <w:t>ΠΕΡΙΕΧ</w:t>
          </w:r>
          <w:r w:rsidRPr="00C75638">
            <w:rPr>
              <w:rFonts w:cstheme="majorHAnsi"/>
              <w:color w:val="000000" w:themeColor="text1"/>
              <w:u w:val="single"/>
              <w:lang w:val="el-GR"/>
            </w:rPr>
            <w:t>Ο</w:t>
          </w:r>
          <w:r w:rsidRPr="00DF11A4">
            <w:rPr>
              <w:rFonts w:cstheme="majorHAnsi"/>
              <w:color w:val="000000" w:themeColor="text1"/>
              <w:u w:val="single"/>
              <w:lang w:val="el-GR"/>
            </w:rPr>
            <w:t>ΜΕΝΑ</w:t>
          </w:r>
        </w:p>
        <w:p w14:paraId="19B17934" w14:textId="20D19E17" w:rsidR="002A2BAE" w:rsidRDefault="00000000" w:rsidP="007F7EFE">
          <w:pPr>
            <w:pStyle w:val="11"/>
            <w:spacing w:after="120"/>
            <w:rPr>
              <w:rFonts w:eastAsiaTheme="minorEastAsia"/>
              <w:noProof/>
              <w:kern w:val="2"/>
              <w:lang w:val="el-GR" w:eastAsia="el-GR"/>
              <w14:ligatures w14:val="standardContextual"/>
            </w:rPr>
          </w:pPr>
          <w:r w:rsidRPr="00304086">
            <w:rPr>
              <w:rFonts w:asciiTheme="majorHAnsi" w:hAnsiTheme="majorHAnsi" w:cstheme="majorHAnsi"/>
            </w:rPr>
            <w:fldChar w:fldCharType="begin"/>
          </w:r>
          <w:r w:rsidRPr="00304086">
            <w:rPr>
              <w:rFonts w:asciiTheme="majorHAnsi" w:hAnsiTheme="majorHAnsi" w:cstheme="majorHAnsi"/>
            </w:rPr>
            <w:instrText xml:space="preserve"> TOC \o "1-3" \h \z \u </w:instrText>
          </w:r>
          <w:r w:rsidRPr="00304086">
            <w:rPr>
              <w:rFonts w:asciiTheme="majorHAnsi" w:hAnsiTheme="majorHAnsi" w:cstheme="majorHAnsi"/>
            </w:rPr>
            <w:fldChar w:fldCharType="separate"/>
          </w:r>
          <w:hyperlink w:anchor="_Toc185524529" w:history="1">
            <w:r w:rsidR="002A2BAE" w:rsidRPr="00A576A9">
              <w:rPr>
                <w:rStyle w:val="-0"/>
                <w:b/>
                <w:bCs/>
                <w:noProof/>
                <w:lang w:val="el-GR"/>
              </w:rPr>
              <w:t>ΕΙΣΑΓΩΓΗ</w:t>
            </w:r>
            <w:r w:rsidR="002A2BAE">
              <w:rPr>
                <w:noProof/>
                <w:webHidden/>
              </w:rPr>
              <w:tab/>
            </w:r>
            <w:r w:rsidR="002A2BAE">
              <w:rPr>
                <w:noProof/>
                <w:webHidden/>
              </w:rPr>
              <w:fldChar w:fldCharType="begin"/>
            </w:r>
            <w:r w:rsidR="002A2BAE">
              <w:rPr>
                <w:noProof/>
                <w:webHidden/>
              </w:rPr>
              <w:instrText xml:space="preserve"> PAGEREF _Toc185524529 \h </w:instrText>
            </w:r>
            <w:r w:rsidR="002A2BAE">
              <w:rPr>
                <w:noProof/>
                <w:webHidden/>
              </w:rPr>
            </w:r>
            <w:r w:rsidR="002A2BAE">
              <w:rPr>
                <w:noProof/>
                <w:webHidden/>
              </w:rPr>
              <w:fldChar w:fldCharType="separate"/>
            </w:r>
            <w:r w:rsidR="009E6CE0">
              <w:rPr>
                <w:noProof/>
                <w:webHidden/>
              </w:rPr>
              <w:t>4</w:t>
            </w:r>
            <w:r w:rsidR="002A2BAE">
              <w:rPr>
                <w:noProof/>
                <w:webHidden/>
              </w:rPr>
              <w:fldChar w:fldCharType="end"/>
            </w:r>
          </w:hyperlink>
        </w:p>
        <w:p w14:paraId="48839097" w14:textId="373130A9" w:rsidR="002A2BAE" w:rsidRDefault="002A2BAE" w:rsidP="007F7EFE">
          <w:pPr>
            <w:pStyle w:val="11"/>
            <w:spacing w:after="120"/>
            <w:rPr>
              <w:rFonts w:eastAsiaTheme="minorEastAsia"/>
              <w:noProof/>
              <w:kern w:val="2"/>
              <w:lang w:val="el-GR" w:eastAsia="el-GR"/>
              <w14:ligatures w14:val="standardContextual"/>
            </w:rPr>
          </w:pPr>
          <w:hyperlink w:anchor="_Toc185524530" w:history="1">
            <w:r w:rsidRPr="00A576A9">
              <w:rPr>
                <w:rStyle w:val="-0"/>
                <w:b/>
                <w:bCs/>
                <w:noProof/>
                <w:lang w:val="el-GR"/>
              </w:rPr>
              <w:t>ΒΑΣΙΚΑ ΕΥΡΥΜΑΤΑ</w:t>
            </w:r>
            <w:r>
              <w:rPr>
                <w:noProof/>
                <w:webHidden/>
              </w:rPr>
              <w:tab/>
            </w:r>
            <w:r>
              <w:rPr>
                <w:noProof/>
                <w:webHidden/>
              </w:rPr>
              <w:fldChar w:fldCharType="begin"/>
            </w:r>
            <w:r>
              <w:rPr>
                <w:noProof/>
                <w:webHidden/>
              </w:rPr>
              <w:instrText xml:space="preserve"> PAGEREF _Toc185524530 \h </w:instrText>
            </w:r>
            <w:r>
              <w:rPr>
                <w:noProof/>
                <w:webHidden/>
              </w:rPr>
            </w:r>
            <w:r>
              <w:rPr>
                <w:noProof/>
                <w:webHidden/>
              </w:rPr>
              <w:fldChar w:fldCharType="separate"/>
            </w:r>
            <w:r w:rsidR="009E6CE0">
              <w:rPr>
                <w:noProof/>
                <w:webHidden/>
              </w:rPr>
              <w:t>6</w:t>
            </w:r>
            <w:r>
              <w:rPr>
                <w:noProof/>
                <w:webHidden/>
              </w:rPr>
              <w:fldChar w:fldCharType="end"/>
            </w:r>
          </w:hyperlink>
        </w:p>
        <w:p w14:paraId="7A4EBC61" w14:textId="4F7DC8C2" w:rsidR="002A2BAE" w:rsidRDefault="002A2BAE" w:rsidP="007F7EFE">
          <w:pPr>
            <w:pStyle w:val="11"/>
            <w:spacing w:after="120"/>
            <w:rPr>
              <w:rFonts w:eastAsiaTheme="minorEastAsia"/>
              <w:noProof/>
              <w:kern w:val="2"/>
              <w:lang w:val="el-GR" w:eastAsia="el-GR"/>
              <w14:ligatures w14:val="standardContextual"/>
            </w:rPr>
          </w:pPr>
          <w:hyperlink w:anchor="_Toc185524531" w:history="1">
            <w:r w:rsidRPr="00A576A9">
              <w:rPr>
                <w:rStyle w:val="-0"/>
                <w:b/>
                <w:bCs/>
                <w:noProof/>
                <w:lang w:val="el-GR"/>
              </w:rPr>
              <w:t>ΒΑΣΙΚΑ ΣΥΜΠΕΡΑΣΜΑΤΑ</w:t>
            </w:r>
            <w:r>
              <w:rPr>
                <w:noProof/>
                <w:webHidden/>
              </w:rPr>
              <w:tab/>
            </w:r>
            <w:r>
              <w:rPr>
                <w:noProof/>
                <w:webHidden/>
              </w:rPr>
              <w:fldChar w:fldCharType="begin"/>
            </w:r>
            <w:r>
              <w:rPr>
                <w:noProof/>
                <w:webHidden/>
              </w:rPr>
              <w:instrText xml:space="preserve"> PAGEREF _Toc185524531 \h </w:instrText>
            </w:r>
            <w:r>
              <w:rPr>
                <w:noProof/>
                <w:webHidden/>
              </w:rPr>
            </w:r>
            <w:r>
              <w:rPr>
                <w:noProof/>
                <w:webHidden/>
              </w:rPr>
              <w:fldChar w:fldCharType="separate"/>
            </w:r>
            <w:r w:rsidR="009E6CE0">
              <w:rPr>
                <w:noProof/>
                <w:webHidden/>
              </w:rPr>
              <w:t>8</w:t>
            </w:r>
            <w:r>
              <w:rPr>
                <w:noProof/>
                <w:webHidden/>
              </w:rPr>
              <w:fldChar w:fldCharType="end"/>
            </w:r>
          </w:hyperlink>
        </w:p>
        <w:p w14:paraId="399DD90A" w14:textId="1826E790" w:rsidR="002A2BAE" w:rsidRDefault="002A2BAE" w:rsidP="007F7EFE">
          <w:pPr>
            <w:pStyle w:val="11"/>
            <w:spacing w:after="120"/>
            <w:rPr>
              <w:rFonts w:eastAsiaTheme="minorEastAsia"/>
              <w:noProof/>
              <w:kern w:val="2"/>
              <w:lang w:val="el-GR" w:eastAsia="el-GR"/>
              <w14:ligatures w14:val="standardContextual"/>
            </w:rPr>
          </w:pPr>
          <w:hyperlink w:anchor="_Toc185524532" w:history="1">
            <w:r w:rsidRPr="00A576A9">
              <w:rPr>
                <w:rStyle w:val="-0"/>
                <w:b/>
                <w:bCs/>
                <w:noProof/>
                <w:lang w:val="el-GR"/>
              </w:rPr>
              <w:t>ΑΝΑΛΥΣΗ ΕΥΡΥΜΑΤΩΝ</w:t>
            </w:r>
            <w:r>
              <w:rPr>
                <w:noProof/>
                <w:webHidden/>
              </w:rPr>
              <w:tab/>
            </w:r>
            <w:r>
              <w:rPr>
                <w:noProof/>
                <w:webHidden/>
              </w:rPr>
              <w:fldChar w:fldCharType="begin"/>
            </w:r>
            <w:r>
              <w:rPr>
                <w:noProof/>
                <w:webHidden/>
              </w:rPr>
              <w:instrText xml:space="preserve"> PAGEREF _Toc185524532 \h </w:instrText>
            </w:r>
            <w:r>
              <w:rPr>
                <w:noProof/>
                <w:webHidden/>
              </w:rPr>
            </w:r>
            <w:r>
              <w:rPr>
                <w:noProof/>
                <w:webHidden/>
              </w:rPr>
              <w:fldChar w:fldCharType="separate"/>
            </w:r>
            <w:r w:rsidR="009E6CE0">
              <w:rPr>
                <w:noProof/>
                <w:webHidden/>
              </w:rPr>
              <w:t>10</w:t>
            </w:r>
            <w:r>
              <w:rPr>
                <w:noProof/>
                <w:webHidden/>
              </w:rPr>
              <w:fldChar w:fldCharType="end"/>
            </w:r>
          </w:hyperlink>
        </w:p>
        <w:p w14:paraId="779C1B96" w14:textId="742AEFAA" w:rsidR="002A2BAE" w:rsidRDefault="002A2BAE" w:rsidP="007F7EFE">
          <w:pPr>
            <w:pStyle w:val="20"/>
            <w:tabs>
              <w:tab w:val="left" w:pos="660"/>
              <w:tab w:val="right" w:leader="dot" w:pos="8777"/>
            </w:tabs>
            <w:spacing w:after="120"/>
            <w:rPr>
              <w:rFonts w:eastAsiaTheme="minorEastAsia"/>
              <w:noProof/>
              <w:kern w:val="2"/>
              <w:lang w:val="el-GR" w:eastAsia="el-GR"/>
              <w14:ligatures w14:val="standardContextual"/>
            </w:rPr>
          </w:pPr>
          <w:hyperlink w:anchor="_Toc185524533" w:history="1">
            <w:r w:rsidRPr="00A576A9">
              <w:rPr>
                <w:rStyle w:val="-0"/>
                <w:noProof/>
              </w:rPr>
              <w:t>1.</w:t>
            </w:r>
            <w:r>
              <w:rPr>
                <w:rFonts w:eastAsiaTheme="minorEastAsia"/>
                <w:noProof/>
                <w:kern w:val="2"/>
                <w:lang w:val="el-GR" w:eastAsia="el-GR"/>
                <w14:ligatures w14:val="standardContextual"/>
              </w:rPr>
              <w:tab/>
            </w:r>
            <w:r w:rsidRPr="00A576A9">
              <w:rPr>
                <w:rStyle w:val="-0"/>
                <w:noProof/>
              </w:rPr>
              <w:t>Ο Σύνθετος Δείκτης: «Ποσοστό πληθυσμού σε κίνδυνο φτώχειας ή σε κοινωνικό αποκλεισμό» (Europe 2030)</w:t>
            </w:r>
            <w:r>
              <w:rPr>
                <w:noProof/>
                <w:webHidden/>
              </w:rPr>
              <w:tab/>
            </w:r>
            <w:r>
              <w:rPr>
                <w:noProof/>
                <w:webHidden/>
              </w:rPr>
              <w:fldChar w:fldCharType="begin"/>
            </w:r>
            <w:r>
              <w:rPr>
                <w:noProof/>
                <w:webHidden/>
              </w:rPr>
              <w:instrText xml:space="preserve"> PAGEREF _Toc185524533 \h </w:instrText>
            </w:r>
            <w:r>
              <w:rPr>
                <w:noProof/>
                <w:webHidden/>
              </w:rPr>
            </w:r>
            <w:r>
              <w:rPr>
                <w:noProof/>
                <w:webHidden/>
              </w:rPr>
              <w:fldChar w:fldCharType="separate"/>
            </w:r>
            <w:r w:rsidR="009E6CE0">
              <w:rPr>
                <w:noProof/>
                <w:webHidden/>
              </w:rPr>
              <w:t>10</w:t>
            </w:r>
            <w:r>
              <w:rPr>
                <w:noProof/>
                <w:webHidden/>
              </w:rPr>
              <w:fldChar w:fldCharType="end"/>
            </w:r>
          </w:hyperlink>
        </w:p>
        <w:p w14:paraId="3ADB4A38" w14:textId="47101569" w:rsidR="002A2BAE" w:rsidRDefault="002A2BAE" w:rsidP="007F7EFE">
          <w:pPr>
            <w:pStyle w:val="20"/>
            <w:tabs>
              <w:tab w:val="left" w:pos="660"/>
              <w:tab w:val="right" w:leader="dot" w:pos="8777"/>
            </w:tabs>
            <w:spacing w:after="120"/>
            <w:rPr>
              <w:rFonts w:eastAsiaTheme="minorEastAsia"/>
              <w:noProof/>
              <w:kern w:val="2"/>
              <w:lang w:val="el-GR" w:eastAsia="el-GR"/>
              <w14:ligatures w14:val="standardContextual"/>
            </w:rPr>
          </w:pPr>
          <w:hyperlink w:anchor="_Toc185524534" w:history="1">
            <w:r w:rsidRPr="00A576A9">
              <w:rPr>
                <w:rStyle w:val="-0"/>
                <w:noProof/>
              </w:rPr>
              <w:t>2.</w:t>
            </w:r>
            <w:r>
              <w:rPr>
                <w:rFonts w:eastAsiaTheme="minorEastAsia"/>
                <w:noProof/>
                <w:kern w:val="2"/>
                <w:lang w:val="el-GR" w:eastAsia="el-GR"/>
                <w14:ligatures w14:val="standardContextual"/>
              </w:rPr>
              <w:tab/>
            </w:r>
            <w:r w:rsidRPr="00A576A9">
              <w:rPr>
                <w:rStyle w:val="-0"/>
                <w:noProof/>
              </w:rPr>
              <w:t>Πληθυσμός σε κίνδυνο φτώχειας</w:t>
            </w:r>
            <w:r>
              <w:rPr>
                <w:noProof/>
                <w:webHidden/>
              </w:rPr>
              <w:tab/>
            </w:r>
            <w:r>
              <w:rPr>
                <w:noProof/>
                <w:webHidden/>
              </w:rPr>
              <w:fldChar w:fldCharType="begin"/>
            </w:r>
            <w:r>
              <w:rPr>
                <w:noProof/>
                <w:webHidden/>
              </w:rPr>
              <w:instrText xml:space="preserve"> PAGEREF _Toc185524534 \h </w:instrText>
            </w:r>
            <w:r>
              <w:rPr>
                <w:noProof/>
                <w:webHidden/>
              </w:rPr>
            </w:r>
            <w:r>
              <w:rPr>
                <w:noProof/>
                <w:webHidden/>
              </w:rPr>
              <w:fldChar w:fldCharType="separate"/>
            </w:r>
            <w:r w:rsidR="009E6CE0">
              <w:rPr>
                <w:noProof/>
                <w:webHidden/>
              </w:rPr>
              <w:t>14</w:t>
            </w:r>
            <w:r>
              <w:rPr>
                <w:noProof/>
                <w:webHidden/>
              </w:rPr>
              <w:fldChar w:fldCharType="end"/>
            </w:r>
          </w:hyperlink>
        </w:p>
        <w:p w14:paraId="09BB2296" w14:textId="5BE00058" w:rsidR="002A2BAE" w:rsidRDefault="002A2BAE" w:rsidP="007F7EFE">
          <w:pPr>
            <w:pStyle w:val="20"/>
            <w:tabs>
              <w:tab w:val="left" w:pos="660"/>
              <w:tab w:val="right" w:leader="dot" w:pos="8777"/>
            </w:tabs>
            <w:spacing w:after="120"/>
            <w:rPr>
              <w:rFonts w:eastAsiaTheme="minorEastAsia"/>
              <w:noProof/>
              <w:kern w:val="2"/>
              <w:lang w:val="el-GR" w:eastAsia="el-GR"/>
              <w14:ligatures w14:val="standardContextual"/>
            </w:rPr>
          </w:pPr>
          <w:hyperlink w:anchor="_Toc185524535" w:history="1">
            <w:r w:rsidRPr="00A576A9">
              <w:rPr>
                <w:rStyle w:val="-0"/>
                <w:noProof/>
              </w:rPr>
              <w:t>3.</w:t>
            </w:r>
            <w:r>
              <w:rPr>
                <w:rFonts w:eastAsiaTheme="minorEastAsia"/>
                <w:noProof/>
                <w:kern w:val="2"/>
                <w:lang w:val="el-GR" w:eastAsia="el-GR"/>
                <w14:ligatures w14:val="standardContextual"/>
              </w:rPr>
              <w:tab/>
            </w:r>
            <w:r w:rsidRPr="00A576A9">
              <w:rPr>
                <w:rStyle w:val="-0"/>
                <w:noProof/>
              </w:rPr>
              <w:t>Πληθυσμός με σοβαρές υλικές και κοινωνικές στερήσεις (Europe 2030)</w:t>
            </w:r>
            <w:r>
              <w:rPr>
                <w:noProof/>
                <w:webHidden/>
              </w:rPr>
              <w:tab/>
            </w:r>
            <w:r>
              <w:rPr>
                <w:noProof/>
                <w:webHidden/>
              </w:rPr>
              <w:fldChar w:fldCharType="begin"/>
            </w:r>
            <w:r>
              <w:rPr>
                <w:noProof/>
                <w:webHidden/>
              </w:rPr>
              <w:instrText xml:space="preserve"> PAGEREF _Toc185524535 \h </w:instrText>
            </w:r>
            <w:r>
              <w:rPr>
                <w:noProof/>
                <w:webHidden/>
              </w:rPr>
            </w:r>
            <w:r>
              <w:rPr>
                <w:noProof/>
                <w:webHidden/>
              </w:rPr>
              <w:fldChar w:fldCharType="separate"/>
            </w:r>
            <w:r w:rsidR="009E6CE0">
              <w:rPr>
                <w:noProof/>
                <w:webHidden/>
              </w:rPr>
              <w:t>17</w:t>
            </w:r>
            <w:r>
              <w:rPr>
                <w:noProof/>
                <w:webHidden/>
              </w:rPr>
              <w:fldChar w:fldCharType="end"/>
            </w:r>
          </w:hyperlink>
        </w:p>
        <w:p w14:paraId="6B2A789B" w14:textId="72F38862" w:rsidR="002A2BAE" w:rsidRDefault="002A2BAE" w:rsidP="007F7EFE">
          <w:pPr>
            <w:pStyle w:val="20"/>
            <w:tabs>
              <w:tab w:val="left" w:pos="660"/>
              <w:tab w:val="right" w:leader="dot" w:pos="8777"/>
            </w:tabs>
            <w:spacing w:after="120"/>
            <w:rPr>
              <w:rFonts w:eastAsiaTheme="minorEastAsia"/>
              <w:noProof/>
              <w:kern w:val="2"/>
              <w:lang w:val="el-GR" w:eastAsia="el-GR"/>
              <w14:ligatures w14:val="standardContextual"/>
            </w:rPr>
          </w:pPr>
          <w:hyperlink w:anchor="_Toc185524536" w:history="1">
            <w:r w:rsidRPr="00A576A9">
              <w:rPr>
                <w:rStyle w:val="-0"/>
                <w:noProof/>
              </w:rPr>
              <w:t>4.</w:t>
            </w:r>
            <w:r>
              <w:rPr>
                <w:rFonts w:eastAsiaTheme="minorEastAsia"/>
                <w:noProof/>
                <w:kern w:val="2"/>
                <w:lang w:val="el-GR" w:eastAsia="el-GR"/>
                <w14:ligatures w14:val="standardContextual"/>
              </w:rPr>
              <w:tab/>
            </w:r>
            <w:r w:rsidRPr="00A576A9">
              <w:rPr>
                <w:rStyle w:val="-0"/>
                <w:noProof/>
              </w:rPr>
              <w:t>Πληθυσμός που διαβιεί σε νοικοκυριά με χαμηλή ένταση εργασίας (Europe 2030)</w:t>
            </w:r>
            <w:r>
              <w:rPr>
                <w:noProof/>
                <w:webHidden/>
              </w:rPr>
              <w:tab/>
            </w:r>
            <w:r>
              <w:rPr>
                <w:noProof/>
                <w:webHidden/>
              </w:rPr>
              <w:fldChar w:fldCharType="begin"/>
            </w:r>
            <w:r>
              <w:rPr>
                <w:noProof/>
                <w:webHidden/>
              </w:rPr>
              <w:instrText xml:space="preserve"> PAGEREF _Toc185524536 \h </w:instrText>
            </w:r>
            <w:r>
              <w:rPr>
                <w:noProof/>
                <w:webHidden/>
              </w:rPr>
            </w:r>
            <w:r>
              <w:rPr>
                <w:noProof/>
                <w:webHidden/>
              </w:rPr>
              <w:fldChar w:fldCharType="separate"/>
            </w:r>
            <w:r w:rsidR="009E6CE0">
              <w:rPr>
                <w:noProof/>
                <w:webHidden/>
              </w:rPr>
              <w:t>20</w:t>
            </w:r>
            <w:r>
              <w:rPr>
                <w:noProof/>
                <w:webHidden/>
              </w:rPr>
              <w:fldChar w:fldCharType="end"/>
            </w:r>
          </w:hyperlink>
        </w:p>
        <w:p w14:paraId="7C788300" w14:textId="5761C147" w:rsidR="007D51AE" w:rsidRPr="00C10021" w:rsidRDefault="00000000">
          <w:pPr>
            <w:pStyle w:val="11"/>
            <w:rPr>
              <w:lang w:val="el-GR"/>
            </w:rPr>
          </w:pPr>
          <w:r w:rsidRPr="00304086">
            <w:rPr>
              <w:rFonts w:asciiTheme="majorHAnsi" w:hAnsiTheme="majorHAnsi" w:cstheme="majorHAnsi"/>
              <w:lang w:val="el-GR"/>
            </w:rPr>
            <w:fldChar w:fldCharType="end"/>
          </w:r>
        </w:p>
      </w:sdtContent>
    </w:sdt>
    <w:p w14:paraId="36469A6D" w14:textId="250D5897" w:rsidR="007D51AE" w:rsidRPr="00C10021" w:rsidRDefault="00000000" w:rsidP="003C7725">
      <w:pPr>
        <w:spacing w:before="240"/>
        <w:jc w:val="center"/>
        <w:rPr>
          <w:rFonts w:asciiTheme="majorHAnsi" w:eastAsiaTheme="majorEastAsia" w:hAnsiTheme="majorHAnsi" w:cstheme="majorBidi"/>
          <w:color w:val="000000" w:themeColor="text1"/>
          <w:sz w:val="32"/>
          <w:szCs w:val="32"/>
          <w:u w:val="single"/>
        </w:rPr>
      </w:pPr>
      <w:r w:rsidRPr="00C10021">
        <w:rPr>
          <w:rFonts w:asciiTheme="majorHAnsi" w:eastAsiaTheme="majorEastAsia" w:hAnsiTheme="majorHAnsi" w:cstheme="majorBidi"/>
          <w:color w:val="000000" w:themeColor="text1"/>
          <w:sz w:val="32"/>
          <w:szCs w:val="32"/>
          <w:u w:val="single"/>
        </w:rPr>
        <w:t>ΓΡΑΦ</w:t>
      </w:r>
      <w:r w:rsidRPr="00C10021">
        <w:rPr>
          <w:rFonts w:asciiTheme="majorHAnsi" w:eastAsiaTheme="majorEastAsia" w:hAnsiTheme="majorHAnsi" w:cstheme="majorBidi"/>
          <w:color w:val="000000" w:themeColor="text1"/>
          <w:sz w:val="32"/>
          <w:szCs w:val="32"/>
          <w:u w:val="single"/>
          <w:lang w:val="el-GR"/>
        </w:rPr>
        <w:t>Η</w:t>
      </w:r>
      <w:r w:rsidRPr="00C10021">
        <w:rPr>
          <w:rFonts w:asciiTheme="majorHAnsi" w:eastAsiaTheme="majorEastAsia" w:hAnsiTheme="majorHAnsi" w:cstheme="majorBidi"/>
          <w:color w:val="000000" w:themeColor="text1"/>
          <w:sz w:val="32"/>
          <w:szCs w:val="32"/>
          <w:u w:val="single"/>
        </w:rPr>
        <w:t>ΜΑΤΑ</w:t>
      </w:r>
    </w:p>
    <w:p w14:paraId="0B686A34" w14:textId="0AC3D5A2" w:rsidR="00F7131B" w:rsidRDefault="00000000" w:rsidP="007F7EFE">
      <w:pPr>
        <w:pStyle w:val="af"/>
        <w:tabs>
          <w:tab w:val="right" w:leader="dot" w:pos="8777"/>
        </w:tabs>
        <w:spacing w:after="120"/>
        <w:ind w:left="567" w:hanging="567"/>
        <w:rPr>
          <w:rFonts w:eastAsiaTheme="minorEastAsia"/>
          <w:noProof/>
          <w:kern w:val="2"/>
          <w:sz w:val="24"/>
          <w:szCs w:val="24"/>
          <w:lang w:val="de-DE" w:eastAsia="de-DE"/>
          <w14:ligatures w14:val="standardContextual"/>
        </w:rPr>
      </w:pPr>
      <w:r w:rsidRPr="00A95E35">
        <w:rPr>
          <w:rFonts w:cstheme="minorHAnsi"/>
          <w:highlight w:val="yellow"/>
          <w:lang w:val="el-GR"/>
        </w:rPr>
        <w:fldChar w:fldCharType="begin"/>
      </w:r>
      <w:r w:rsidRPr="00A95E35">
        <w:rPr>
          <w:rFonts w:cstheme="minorHAnsi"/>
          <w:highlight w:val="yellow"/>
          <w:lang w:val="el-GR"/>
        </w:rPr>
        <w:instrText xml:space="preserve"> TOC \h \z \c "Γράφημα" </w:instrText>
      </w:r>
      <w:r w:rsidRPr="00A95E35">
        <w:rPr>
          <w:rFonts w:cstheme="minorHAnsi"/>
          <w:highlight w:val="yellow"/>
          <w:lang w:val="el-GR"/>
        </w:rPr>
        <w:fldChar w:fldCharType="separate"/>
      </w:r>
      <w:hyperlink w:anchor="_Toc185586644" w:history="1">
        <w:r w:rsidR="00F7131B" w:rsidRPr="000E108E">
          <w:rPr>
            <w:rStyle w:val="-0"/>
            <w:rFonts w:asciiTheme="majorHAnsi" w:hAnsiTheme="majorHAnsi" w:cstheme="majorHAnsi"/>
            <w:b/>
            <w:bCs/>
            <w:noProof/>
            <w:lang w:val="el-GR"/>
          </w:rPr>
          <w:t xml:space="preserve">Γράφημα 1. </w:t>
        </w:r>
        <w:r w:rsidR="00F7131B" w:rsidRPr="007F7EFE">
          <w:rPr>
            <w:rStyle w:val="-0"/>
            <w:rFonts w:asciiTheme="majorHAnsi" w:hAnsiTheme="majorHAnsi" w:cstheme="majorHAnsi"/>
            <w:noProof/>
            <w:lang w:val="el-GR"/>
          </w:rPr>
          <w:t xml:space="preserve">Ποσοστό πληθυσμού (16+) σε κίνδυνο φτώχειας ή σε κοινωνικό αποκλεισμό </w:t>
        </w:r>
        <w:r w:rsidR="007F7EFE" w:rsidRPr="007F7EFE">
          <w:rPr>
            <w:rStyle w:val="-0"/>
            <w:rFonts w:asciiTheme="majorHAnsi" w:hAnsiTheme="majorHAnsi" w:cstheme="majorHAnsi"/>
            <w:noProof/>
            <w:lang w:val="el-GR"/>
          </w:rPr>
          <w:br/>
        </w:r>
        <w:r w:rsidR="00F7131B" w:rsidRPr="007F7EFE">
          <w:rPr>
            <w:rStyle w:val="-0"/>
            <w:rFonts w:asciiTheme="majorHAnsi" w:hAnsiTheme="majorHAnsi" w:cstheme="majorHAnsi"/>
            <w:noProof/>
            <w:lang w:val="el-GR"/>
          </w:rPr>
          <w:t>(Europe 2030) και κατάσταση αναπηρίας &amp; Χάσμα</w:t>
        </w:r>
        <w:r w:rsidR="00F7131B">
          <w:rPr>
            <w:noProof/>
            <w:webHidden/>
          </w:rPr>
          <w:tab/>
        </w:r>
        <w:r w:rsidR="00F7131B">
          <w:rPr>
            <w:noProof/>
            <w:webHidden/>
          </w:rPr>
          <w:fldChar w:fldCharType="begin"/>
        </w:r>
        <w:r w:rsidR="00F7131B">
          <w:rPr>
            <w:noProof/>
            <w:webHidden/>
          </w:rPr>
          <w:instrText xml:space="preserve"> PAGEREF _Toc185586644 \h </w:instrText>
        </w:r>
        <w:r w:rsidR="00F7131B">
          <w:rPr>
            <w:noProof/>
            <w:webHidden/>
          </w:rPr>
        </w:r>
        <w:r w:rsidR="00F7131B">
          <w:rPr>
            <w:noProof/>
            <w:webHidden/>
          </w:rPr>
          <w:fldChar w:fldCharType="separate"/>
        </w:r>
        <w:r w:rsidR="009E6CE0">
          <w:rPr>
            <w:noProof/>
            <w:webHidden/>
          </w:rPr>
          <w:t>10</w:t>
        </w:r>
        <w:r w:rsidR="00F7131B">
          <w:rPr>
            <w:noProof/>
            <w:webHidden/>
          </w:rPr>
          <w:fldChar w:fldCharType="end"/>
        </w:r>
      </w:hyperlink>
    </w:p>
    <w:p w14:paraId="3FBEF640" w14:textId="239D1B4D" w:rsidR="00F7131B" w:rsidRDefault="00F7131B" w:rsidP="007F7EFE">
      <w:pPr>
        <w:pStyle w:val="af"/>
        <w:tabs>
          <w:tab w:val="right" w:leader="dot" w:pos="8777"/>
        </w:tabs>
        <w:spacing w:after="120"/>
        <w:ind w:left="567" w:hanging="567"/>
        <w:rPr>
          <w:rFonts w:eastAsiaTheme="minorEastAsia"/>
          <w:noProof/>
          <w:kern w:val="2"/>
          <w:sz w:val="24"/>
          <w:szCs w:val="24"/>
          <w:lang w:val="de-DE" w:eastAsia="de-DE"/>
          <w14:ligatures w14:val="standardContextual"/>
        </w:rPr>
      </w:pPr>
      <w:hyperlink w:anchor="_Toc185586645" w:history="1">
        <w:r w:rsidRPr="000E108E">
          <w:rPr>
            <w:rStyle w:val="-0"/>
            <w:rFonts w:asciiTheme="majorHAnsi" w:hAnsiTheme="majorHAnsi" w:cstheme="majorHAnsi"/>
            <w:b/>
            <w:bCs/>
            <w:noProof/>
            <w:lang w:val="el-GR"/>
          </w:rPr>
          <w:t xml:space="preserve">Γράφημα 2. </w:t>
        </w:r>
        <w:r w:rsidRPr="007F7EFE">
          <w:rPr>
            <w:rStyle w:val="-0"/>
            <w:rFonts w:asciiTheme="majorHAnsi" w:hAnsiTheme="majorHAnsi" w:cstheme="majorHAnsi"/>
            <w:noProof/>
            <w:lang w:val="el-GR"/>
          </w:rPr>
          <w:t>Ποσοστό πληθυσμού με σοβαρή αναπηρία σε κίνδυνο φτώχειας ή σε κοινωνικό αποκλεισμό (Europe 2030) και ομάδα ηλικίας</w:t>
        </w:r>
        <w:r>
          <w:rPr>
            <w:noProof/>
            <w:webHidden/>
          </w:rPr>
          <w:tab/>
        </w:r>
        <w:r>
          <w:rPr>
            <w:noProof/>
            <w:webHidden/>
          </w:rPr>
          <w:fldChar w:fldCharType="begin"/>
        </w:r>
        <w:r>
          <w:rPr>
            <w:noProof/>
            <w:webHidden/>
          </w:rPr>
          <w:instrText xml:space="preserve"> PAGEREF _Toc185586645 \h </w:instrText>
        </w:r>
        <w:r>
          <w:rPr>
            <w:noProof/>
            <w:webHidden/>
          </w:rPr>
        </w:r>
        <w:r>
          <w:rPr>
            <w:noProof/>
            <w:webHidden/>
          </w:rPr>
          <w:fldChar w:fldCharType="separate"/>
        </w:r>
        <w:r w:rsidR="009E6CE0">
          <w:rPr>
            <w:noProof/>
            <w:webHidden/>
          </w:rPr>
          <w:t>11</w:t>
        </w:r>
        <w:r>
          <w:rPr>
            <w:noProof/>
            <w:webHidden/>
          </w:rPr>
          <w:fldChar w:fldCharType="end"/>
        </w:r>
      </w:hyperlink>
    </w:p>
    <w:p w14:paraId="1BF9D948" w14:textId="189181C2" w:rsidR="00F7131B" w:rsidRDefault="00F7131B" w:rsidP="007F7EFE">
      <w:pPr>
        <w:pStyle w:val="af"/>
        <w:tabs>
          <w:tab w:val="right" w:leader="dot" w:pos="8777"/>
        </w:tabs>
        <w:spacing w:after="120"/>
        <w:ind w:left="567" w:hanging="567"/>
        <w:rPr>
          <w:rFonts w:eastAsiaTheme="minorEastAsia"/>
          <w:noProof/>
          <w:kern w:val="2"/>
          <w:sz w:val="24"/>
          <w:szCs w:val="24"/>
          <w:lang w:val="de-DE" w:eastAsia="de-DE"/>
          <w14:ligatures w14:val="standardContextual"/>
        </w:rPr>
      </w:pPr>
      <w:hyperlink w:anchor="_Toc185586646" w:history="1">
        <w:r w:rsidRPr="000E108E">
          <w:rPr>
            <w:rStyle w:val="-0"/>
            <w:rFonts w:asciiTheme="majorHAnsi" w:hAnsiTheme="majorHAnsi" w:cstheme="majorHAnsi"/>
            <w:b/>
            <w:bCs/>
            <w:noProof/>
            <w:lang w:val="el-GR"/>
          </w:rPr>
          <w:t xml:space="preserve">Γράφημα 3. </w:t>
        </w:r>
        <w:r w:rsidRPr="007F7EFE">
          <w:rPr>
            <w:rStyle w:val="-0"/>
            <w:rFonts w:asciiTheme="majorHAnsi" w:hAnsiTheme="majorHAnsi" w:cstheme="majorHAnsi"/>
            <w:noProof/>
            <w:lang w:val="el-GR"/>
          </w:rPr>
          <w:t xml:space="preserve">Ποσοστό πληθυσμού (16-64 ετών) σε κίνδυνο φτώχειας ή σε κοινωνικό </w:t>
        </w:r>
        <w:r w:rsidR="007F7EFE" w:rsidRPr="007F7EFE">
          <w:rPr>
            <w:rStyle w:val="-0"/>
            <w:rFonts w:asciiTheme="majorHAnsi" w:hAnsiTheme="majorHAnsi" w:cstheme="majorHAnsi"/>
            <w:noProof/>
            <w:lang w:val="el-GR"/>
          </w:rPr>
          <w:br/>
        </w:r>
        <w:r w:rsidRPr="007F7EFE">
          <w:rPr>
            <w:rStyle w:val="-0"/>
            <w:rFonts w:asciiTheme="majorHAnsi" w:hAnsiTheme="majorHAnsi" w:cstheme="majorHAnsi"/>
            <w:noProof/>
            <w:lang w:val="el-GR"/>
          </w:rPr>
          <w:t xml:space="preserve">αποκλεισμό (Europe 2030) και κατάσταση αναπηρίας και χάσμα φτώχειας και </w:t>
        </w:r>
        <w:r w:rsidR="007F7EFE" w:rsidRPr="007F7EFE">
          <w:rPr>
            <w:rStyle w:val="-0"/>
            <w:rFonts w:asciiTheme="majorHAnsi" w:hAnsiTheme="majorHAnsi" w:cstheme="majorHAnsi"/>
            <w:noProof/>
            <w:lang w:val="el-GR"/>
          </w:rPr>
          <w:br/>
        </w:r>
        <w:r w:rsidRPr="007F7EFE">
          <w:rPr>
            <w:rStyle w:val="-0"/>
            <w:rFonts w:asciiTheme="majorHAnsi" w:hAnsiTheme="majorHAnsi" w:cstheme="majorHAnsi"/>
            <w:noProof/>
            <w:lang w:val="el-GR"/>
          </w:rPr>
          <w:t>κοινωνικού αποκλεισμού ατόμων με σοβαρή αναπηρία</w:t>
        </w:r>
        <w:r>
          <w:rPr>
            <w:noProof/>
            <w:webHidden/>
          </w:rPr>
          <w:tab/>
        </w:r>
        <w:r>
          <w:rPr>
            <w:noProof/>
            <w:webHidden/>
          </w:rPr>
          <w:fldChar w:fldCharType="begin"/>
        </w:r>
        <w:r>
          <w:rPr>
            <w:noProof/>
            <w:webHidden/>
          </w:rPr>
          <w:instrText xml:space="preserve"> PAGEREF _Toc185586646 \h </w:instrText>
        </w:r>
        <w:r>
          <w:rPr>
            <w:noProof/>
            <w:webHidden/>
          </w:rPr>
        </w:r>
        <w:r>
          <w:rPr>
            <w:noProof/>
            <w:webHidden/>
          </w:rPr>
          <w:fldChar w:fldCharType="separate"/>
        </w:r>
        <w:r w:rsidR="009E6CE0">
          <w:rPr>
            <w:noProof/>
            <w:webHidden/>
          </w:rPr>
          <w:t>13</w:t>
        </w:r>
        <w:r>
          <w:rPr>
            <w:noProof/>
            <w:webHidden/>
          </w:rPr>
          <w:fldChar w:fldCharType="end"/>
        </w:r>
      </w:hyperlink>
    </w:p>
    <w:p w14:paraId="5B116570" w14:textId="39F03078" w:rsidR="00F7131B" w:rsidRDefault="00F7131B" w:rsidP="007F7EFE">
      <w:pPr>
        <w:pStyle w:val="af"/>
        <w:tabs>
          <w:tab w:val="right" w:leader="dot" w:pos="8777"/>
        </w:tabs>
        <w:spacing w:after="120"/>
        <w:ind w:left="567" w:hanging="567"/>
        <w:rPr>
          <w:rFonts w:eastAsiaTheme="minorEastAsia"/>
          <w:noProof/>
          <w:kern w:val="2"/>
          <w:sz w:val="24"/>
          <w:szCs w:val="24"/>
          <w:lang w:val="de-DE" w:eastAsia="de-DE"/>
          <w14:ligatures w14:val="standardContextual"/>
        </w:rPr>
      </w:pPr>
      <w:hyperlink w:anchor="_Toc185586647" w:history="1">
        <w:r w:rsidRPr="000E108E">
          <w:rPr>
            <w:rStyle w:val="-0"/>
            <w:rFonts w:asciiTheme="majorHAnsi" w:hAnsiTheme="majorHAnsi" w:cstheme="majorHAnsi"/>
            <w:b/>
            <w:bCs/>
            <w:noProof/>
            <w:lang w:val="el-GR"/>
          </w:rPr>
          <w:t xml:space="preserve">Γράφημα 4. </w:t>
        </w:r>
        <w:r w:rsidRPr="007F7EFE">
          <w:rPr>
            <w:rStyle w:val="-0"/>
            <w:rFonts w:asciiTheme="majorHAnsi" w:hAnsiTheme="majorHAnsi" w:cstheme="majorHAnsi"/>
            <w:noProof/>
            <w:lang w:val="el-GR"/>
          </w:rPr>
          <w:t>Διαχρονική εξέλιξη του ποσοστού πληθυσμού σε κίνδυνο φτώχειας (</w:t>
        </w:r>
        <w:r w:rsidRPr="007F7EFE">
          <w:rPr>
            <w:rStyle w:val="-0"/>
            <w:rFonts w:asciiTheme="majorHAnsi" w:hAnsiTheme="majorHAnsi" w:cstheme="majorHAnsi"/>
            <w:noProof/>
            <w:lang w:val="en-GB"/>
          </w:rPr>
          <w:t>Poverty</w:t>
        </w:r>
        <w:r w:rsidRPr="007F7EFE">
          <w:rPr>
            <w:rStyle w:val="-0"/>
            <w:rFonts w:asciiTheme="majorHAnsi" w:hAnsiTheme="majorHAnsi" w:cstheme="majorHAnsi"/>
            <w:noProof/>
            <w:lang w:val="el-GR"/>
          </w:rPr>
          <w:t xml:space="preserve"> </w:t>
        </w:r>
        <w:r w:rsidRPr="007F7EFE">
          <w:rPr>
            <w:rStyle w:val="-0"/>
            <w:rFonts w:asciiTheme="majorHAnsi" w:hAnsiTheme="majorHAnsi" w:cstheme="majorHAnsi"/>
            <w:noProof/>
            <w:lang w:val="en-GB"/>
          </w:rPr>
          <w:t>Risk</w:t>
        </w:r>
        <w:r w:rsidRPr="007F7EFE">
          <w:rPr>
            <w:rStyle w:val="-0"/>
            <w:rFonts w:asciiTheme="majorHAnsi" w:hAnsiTheme="majorHAnsi" w:cstheme="majorHAnsi"/>
            <w:noProof/>
            <w:lang w:val="el-GR"/>
          </w:rPr>
          <w:t>) ηλικίας 16 ετών και άνω και κατάσταση αναπηρίας (Σοβαρή αναπηρία/χωρίς αναπηρία)</w:t>
        </w:r>
        <w:r>
          <w:rPr>
            <w:noProof/>
            <w:webHidden/>
          </w:rPr>
          <w:tab/>
        </w:r>
        <w:r>
          <w:rPr>
            <w:noProof/>
            <w:webHidden/>
          </w:rPr>
          <w:fldChar w:fldCharType="begin"/>
        </w:r>
        <w:r>
          <w:rPr>
            <w:noProof/>
            <w:webHidden/>
          </w:rPr>
          <w:instrText xml:space="preserve"> PAGEREF _Toc185586647 \h </w:instrText>
        </w:r>
        <w:r>
          <w:rPr>
            <w:noProof/>
            <w:webHidden/>
          </w:rPr>
        </w:r>
        <w:r>
          <w:rPr>
            <w:noProof/>
            <w:webHidden/>
          </w:rPr>
          <w:fldChar w:fldCharType="separate"/>
        </w:r>
        <w:r w:rsidR="009E6CE0">
          <w:rPr>
            <w:noProof/>
            <w:webHidden/>
          </w:rPr>
          <w:t>15</w:t>
        </w:r>
        <w:r>
          <w:rPr>
            <w:noProof/>
            <w:webHidden/>
          </w:rPr>
          <w:fldChar w:fldCharType="end"/>
        </w:r>
      </w:hyperlink>
    </w:p>
    <w:p w14:paraId="456D6210" w14:textId="0D7A780B" w:rsidR="00F7131B" w:rsidRDefault="00F7131B" w:rsidP="007F7EFE">
      <w:pPr>
        <w:pStyle w:val="af"/>
        <w:tabs>
          <w:tab w:val="right" w:leader="dot" w:pos="8777"/>
        </w:tabs>
        <w:spacing w:after="120"/>
        <w:ind w:left="567" w:hanging="567"/>
        <w:rPr>
          <w:rFonts w:eastAsiaTheme="minorEastAsia"/>
          <w:noProof/>
          <w:kern w:val="2"/>
          <w:sz w:val="24"/>
          <w:szCs w:val="24"/>
          <w:lang w:val="de-DE" w:eastAsia="de-DE"/>
          <w14:ligatures w14:val="standardContextual"/>
        </w:rPr>
      </w:pPr>
      <w:hyperlink w:anchor="_Toc185586648" w:history="1">
        <w:r w:rsidRPr="000E108E">
          <w:rPr>
            <w:rStyle w:val="-0"/>
            <w:rFonts w:asciiTheme="majorHAnsi" w:hAnsiTheme="majorHAnsi" w:cstheme="majorHAnsi"/>
            <w:b/>
            <w:bCs/>
            <w:noProof/>
            <w:lang w:val="el-GR"/>
          </w:rPr>
          <w:t xml:space="preserve">Γράφημα 5. </w:t>
        </w:r>
        <w:r w:rsidRPr="007F7EFE">
          <w:rPr>
            <w:rStyle w:val="-0"/>
            <w:rFonts w:asciiTheme="majorHAnsi" w:hAnsiTheme="majorHAnsi" w:cstheme="majorHAnsi"/>
            <w:noProof/>
            <w:lang w:val="el-GR"/>
          </w:rPr>
          <w:t>Διαχρονική εξέλιξη του ποσοστού πληθυσμού σε κίνδυνο φτώχειας και κατάσταση αναπηρίας (Σοβαρή αναπηρία/χωρίς αναπηρία) ανά ομάδα ηλικίας</w:t>
        </w:r>
        <w:r>
          <w:rPr>
            <w:noProof/>
            <w:webHidden/>
          </w:rPr>
          <w:tab/>
        </w:r>
        <w:r>
          <w:rPr>
            <w:noProof/>
            <w:webHidden/>
          </w:rPr>
          <w:fldChar w:fldCharType="begin"/>
        </w:r>
        <w:r>
          <w:rPr>
            <w:noProof/>
            <w:webHidden/>
          </w:rPr>
          <w:instrText xml:space="preserve"> PAGEREF _Toc185586648 \h </w:instrText>
        </w:r>
        <w:r>
          <w:rPr>
            <w:noProof/>
            <w:webHidden/>
          </w:rPr>
        </w:r>
        <w:r>
          <w:rPr>
            <w:noProof/>
            <w:webHidden/>
          </w:rPr>
          <w:fldChar w:fldCharType="separate"/>
        </w:r>
        <w:r w:rsidR="009E6CE0">
          <w:rPr>
            <w:noProof/>
            <w:webHidden/>
          </w:rPr>
          <w:t>16</w:t>
        </w:r>
        <w:r>
          <w:rPr>
            <w:noProof/>
            <w:webHidden/>
          </w:rPr>
          <w:fldChar w:fldCharType="end"/>
        </w:r>
      </w:hyperlink>
    </w:p>
    <w:p w14:paraId="1057DAA1" w14:textId="5DB11C32" w:rsidR="00F7131B" w:rsidRDefault="00F7131B" w:rsidP="007F7EFE">
      <w:pPr>
        <w:pStyle w:val="af"/>
        <w:tabs>
          <w:tab w:val="right" w:leader="dot" w:pos="8777"/>
        </w:tabs>
        <w:spacing w:after="120"/>
        <w:ind w:left="567" w:hanging="567"/>
        <w:rPr>
          <w:rFonts w:eastAsiaTheme="minorEastAsia"/>
          <w:noProof/>
          <w:kern w:val="2"/>
          <w:sz w:val="24"/>
          <w:szCs w:val="24"/>
          <w:lang w:val="de-DE" w:eastAsia="de-DE"/>
          <w14:ligatures w14:val="standardContextual"/>
        </w:rPr>
      </w:pPr>
      <w:hyperlink w:anchor="_Toc185586649" w:history="1">
        <w:r w:rsidRPr="000E108E">
          <w:rPr>
            <w:rStyle w:val="-0"/>
            <w:rFonts w:asciiTheme="majorHAnsi" w:hAnsiTheme="majorHAnsi" w:cstheme="majorHAnsi"/>
            <w:b/>
            <w:bCs/>
            <w:noProof/>
            <w:lang w:val="el-GR"/>
          </w:rPr>
          <w:t xml:space="preserve">Γράφημα 6. </w:t>
        </w:r>
        <w:r w:rsidRPr="007F7EFE">
          <w:rPr>
            <w:rStyle w:val="-0"/>
            <w:rFonts w:asciiTheme="majorHAnsi" w:hAnsiTheme="majorHAnsi" w:cstheme="majorHAnsi"/>
            <w:noProof/>
            <w:lang w:val="el-GR"/>
          </w:rPr>
          <w:t xml:space="preserve">Πληθυσμός 16 ετών και άνω που αντιμετωπίζει υλικές και κοινωνικές στερήσεις </w:t>
        </w:r>
        <w:r w:rsidR="007F7EFE" w:rsidRPr="007F7EFE">
          <w:rPr>
            <w:rStyle w:val="-0"/>
            <w:rFonts w:asciiTheme="majorHAnsi" w:hAnsiTheme="majorHAnsi" w:cstheme="majorHAnsi"/>
            <w:noProof/>
            <w:lang w:val="el-GR"/>
          </w:rPr>
          <w:br/>
        </w:r>
        <w:r w:rsidRPr="007F7EFE">
          <w:rPr>
            <w:rStyle w:val="-0"/>
            <w:rFonts w:asciiTheme="majorHAnsi" w:hAnsiTheme="majorHAnsi" w:cstheme="majorHAnsi"/>
            <w:noProof/>
            <w:lang w:val="el-GR"/>
          </w:rPr>
          <w:t>και κατάσταση αναπηρίας ανά ηλικιακή ομάδα</w:t>
        </w:r>
        <w:r>
          <w:rPr>
            <w:noProof/>
            <w:webHidden/>
          </w:rPr>
          <w:tab/>
        </w:r>
        <w:r>
          <w:rPr>
            <w:noProof/>
            <w:webHidden/>
          </w:rPr>
          <w:fldChar w:fldCharType="begin"/>
        </w:r>
        <w:r>
          <w:rPr>
            <w:noProof/>
            <w:webHidden/>
          </w:rPr>
          <w:instrText xml:space="preserve"> PAGEREF _Toc185586649 \h </w:instrText>
        </w:r>
        <w:r>
          <w:rPr>
            <w:noProof/>
            <w:webHidden/>
          </w:rPr>
        </w:r>
        <w:r>
          <w:rPr>
            <w:noProof/>
            <w:webHidden/>
          </w:rPr>
          <w:fldChar w:fldCharType="separate"/>
        </w:r>
        <w:r w:rsidR="009E6CE0">
          <w:rPr>
            <w:noProof/>
            <w:webHidden/>
          </w:rPr>
          <w:t>18</w:t>
        </w:r>
        <w:r>
          <w:rPr>
            <w:noProof/>
            <w:webHidden/>
          </w:rPr>
          <w:fldChar w:fldCharType="end"/>
        </w:r>
      </w:hyperlink>
    </w:p>
    <w:p w14:paraId="156B0BA9" w14:textId="10B69DAB" w:rsidR="00F7131B" w:rsidRDefault="00F7131B" w:rsidP="007F7EFE">
      <w:pPr>
        <w:pStyle w:val="af"/>
        <w:tabs>
          <w:tab w:val="right" w:leader="dot" w:pos="8777"/>
        </w:tabs>
        <w:spacing w:after="120"/>
        <w:ind w:left="567" w:hanging="567"/>
        <w:rPr>
          <w:rFonts w:eastAsiaTheme="minorEastAsia"/>
          <w:noProof/>
          <w:kern w:val="2"/>
          <w:sz w:val="24"/>
          <w:szCs w:val="24"/>
          <w:lang w:val="de-DE" w:eastAsia="de-DE"/>
          <w14:ligatures w14:val="standardContextual"/>
        </w:rPr>
      </w:pPr>
      <w:hyperlink w:anchor="_Toc185586650" w:history="1">
        <w:r w:rsidRPr="000E108E">
          <w:rPr>
            <w:rStyle w:val="-0"/>
            <w:rFonts w:asciiTheme="majorHAnsi" w:hAnsiTheme="majorHAnsi" w:cstheme="majorHAnsi"/>
            <w:b/>
            <w:bCs/>
            <w:noProof/>
            <w:lang w:val="el-GR"/>
          </w:rPr>
          <w:t xml:space="preserve">Γράφημα 7: </w:t>
        </w:r>
        <w:r w:rsidRPr="007F7EFE">
          <w:rPr>
            <w:rStyle w:val="-0"/>
            <w:rFonts w:asciiTheme="majorHAnsi" w:hAnsiTheme="majorHAnsi" w:cstheme="majorHAnsi"/>
            <w:noProof/>
            <w:lang w:val="el-GR"/>
          </w:rPr>
          <w:t>Ποσοστό ατόμων ηλικίας 16-64 ετών με οικονομική αδυναμία για ικανοποιητική θέρμανση τον χειμώνα ανά κατάσταση αναπηρίας</w:t>
        </w:r>
        <w:r>
          <w:rPr>
            <w:noProof/>
            <w:webHidden/>
          </w:rPr>
          <w:tab/>
        </w:r>
        <w:r>
          <w:rPr>
            <w:noProof/>
            <w:webHidden/>
          </w:rPr>
          <w:fldChar w:fldCharType="begin"/>
        </w:r>
        <w:r>
          <w:rPr>
            <w:noProof/>
            <w:webHidden/>
          </w:rPr>
          <w:instrText xml:space="preserve"> PAGEREF _Toc185586650 \h </w:instrText>
        </w:r>
        <w:r>
          <w:rPr>
            <w:noProof/>
            <w:webHidden/>
          </w:rPr>
        </w:r>
        <w:r>
          <w:rPr>
            <w:noProof/>
            <w:webHidden/>
          </w:rPr>
          <w:fldChar w:fldCharType="separate"/>
        </w:r>
        <w:r w:rsidR="009E6CE0">
          <w:rPr>
            <w:noProof/>
            <w:webHidden/>
          </w:rPr>
          <w:t>19</w:t>
        </w:r>
        <w:r>
          <w:rPr>
            <w:noProof/>
            <w:webHidden/>
          </w:rPr>
          <w:fldChar w:fldCharType="end"/>
        </w:r>
      </w:hyperlink>
    </w:p>
    <w:p w14:paraId="46AB1C93" w14:textId="00B2A7B8" w:rsidR="00F7131B" w:rsidRDefault="00F7131B" w:rsidP="007F7EFE">
      <w:pPr>
        <w:pStyle w:val="af"/>
        <w:tabs>
          <w:tab w:val="right" w:leader="dot" w:pos="8777"/>
        </w:tabs>
        <w:spacing w:after="120"/>
        <w:ind w:left="567" w:hanging="567"/>
        <w:rPr>
          <w:rFonts w:eastAsiaTheme="minorEastAsia"/>
          <w:noProof/>
          <w:kern w:val="2"/>
          <w:sz w:val="24"/>
          <w:szCs w:val="24"/>
          <w:lang w:val="de-DE" w:eastAsia="de-DE"/>
          <w14:ligatures w14:val="standardContextual"/>
        </w:rPr>
      </w:pPr>
      <w:hyperlink w:anchor="_Toc185586651" w:history="1">
        <w:r w:rsidRPr="000E108E">
          <w:rPr>
            <w:rStyle w:val="-0"/>
            <w:rFonts w:asciiTheme="majorHAnsi" w:hAnsiTheme="majorHAnsi" w:cstheme="majorHAnsi"/>
            <w:b/>
            <w:bCs/>
            <w:noProof/>
            <w:lang w:val="el-GR"/>
          </w:rPr>
          <w:t xml:space="preserve">Γράφημα </w:t>
        </w:r>
        <w:r w:rsidRPr="000E108E">
          <w:rPr>
            <w:rStyle w:val="-0"/>
            <w:rFonts w:asciiTheme="majorHAnsi" w:hAnsiTheme="majorHAnsi" w:cstheme="majorHAnsi"/>
            <w:b/>
            <w:bCs/>
            <w:noProof/>
          </w:rPr>
          <w:t>8</w:t>
        </w:r>
        <w:r w:rsidRPr="000E108E">
          <w:rPr>
            <w:rStyle w:val="-0"/>
            <w:rFonts w:asciiTheme="majorHAnsi" w:hAnsiTheme="majorHAnsi" w:cstheme="majorHAnsi"/>
            <w:b/>
            <w:bCs/>
            <w:noProof/>
            <w:lang w:val="el-GR"/>
          </w:rPr>
          <w:t xml:space="preserve">. </w:t>
        </w:r>
        <w:r w:rsidRPr="007F7EFE">
          <w:rPr>
            <w:rStyle w:val="-0"/>
            <w:rFonts w:asciiTheme="majorHAnsi" w:hAnsiTheme="majorHAnsi" w:cstheme="majorHAnsi"/>
            <w:noProof/>
            <w:lang w:val="el-GR"/>
          </w:rPr>
          <w:t xml:space="preserve">Διαχρονική εξέλιξη ποσοστού πληθυσμού (16-64 ετών) που διαβιεί σε νοικοκυριά </w:t>
        </w:r>
        <w:r w:rsidR="007F7EFE" w:rsidRPr="007F7EFE">
          <w:rPr>
            <w:rStyle w:val="-0"/>
            <w:rFonts w:asciiTheme="majorHAnsi" w:hAnsiTheme="majorHAnsi" w:cstheme="majorHAnsi"/>
            <w:noProof/>
            <w:lang w:val="el-GR"/>
          </w:rPr>
          <w:br/>
        </w:r>
        <w:r w:rsidRPr="007F7EFE">
          <w:rPr>
            <w:rStyle w:val="-0"/>
            <w:rFonts w:asciiTheme="majorHAnsi" w:hAnsiTheme="majorHAnsi" w:cstheme="majorHAnsi"/>
            <w:noProof/>
            <w:lang w:val="el-GR"/>
          </w:rPr>
          <w:t>με χαμηλή ένταση εργασίας (Europe 2030)</w:t>
        </w:r>
        <w:r>
          <w:rPr>
            <w:noProof/>
            <w:webHidden/>
          </w:rPr>
          <w:tab/>
        </w:r>
        <w:r>
          <w:rPr>
            <w:noProof/>
            <w:webHidden/>
          </w:rPr>
          <w:fldChar w:fldCharType="begin"/>
        </w:r>
        <w:r>
          <w:rPr>
            <w:noProof/>
            <w:webHidden/>
          </w:rPr>
          <w:instrText xml:space="preserve"> PAGEREF _Toc185586651 \h </w:instrText>
        </w:r>
        <w:r>
          <w:rPr>
            <w:noProof/>
            <w:webHidden/>
          </w:rPr>
        </w:r>
        <w:r>
          <w:rPr>
            <w:noProof/>
            <w:webHidden/>
          </w:rPr>
          <w:fldChar w:fldCharType="separate"/>
        </w:r>
        <w:r w:rsidR="009E6CE0">
          <w:rPr>
            <w:noProof/>
            <w:webHidden/>
          </w:rPr>
          <w:t>21</w:t>
        </w:r>
        <w:r>
          <w:rPr>
            <w:noProof/>
            <w:webHidden/>
          </w:rPr>
          <w:fldChar w:fldCharType="end"/>
        </w:r>
      </w:hyperlink>
    </w:p>
    <w:p w14:paraId="33C81A33" w14:textId="2D740680" w:rsidR="003C7725" w:rsidRDefault="00000000" w:rsidP="007F7EFE">
      <w:pPr>
        <w:spacing w:after="120" w:line="240" w:lineRule="auto"/>
        <w:ind w:left="567" w:hanging="567"/>
        <w:rPr>
          <w:rFonts w:cstheme="minorHAnsi"/>
          <w:highlight w:val="yellow"/>
          <w:lang w:val="el-GR"/>
        </w:rPr>
      </w:pPr>
      <w:r w:rsidRPr="00A95E35">
        <w:rPr>
          <w:rFonts w:cstheme="minorHAnsi"/>
          <w:highlight w:val="yellow"/>
          <w:lang w:val="el-GR"/>
        </w:rPr>
        <w:fldChar w:fldCharType="end"/>
      </w:r>
    </w:p>
    <w:p w14:paraId="4241FDD8" w14:textId="77777777" w:rsidR="003C7725" w:rsidRDefault="003C7725">
      <w:pPr>
        <w:spacing w:after="0" w:line="240" w:lineRule="auto"/>
        <w:rPr>
          <w:rFonts w:cstheme="minorHAnsi"/>
          <w:highlight w:val="yellow"/>
        </w:rPr>
      </w:pPr>
      <w:r>
        <w:rPr>
          <w:rFonts w:cstheme="minorHAnsi"/>
          <w:highlight w:val="yellow"/>
          <w:lang w:val="el-GR"/>
        </w:rPr>
        <w:br w:type="page"/>
      </w:r>
    </w:p>
    <w:p w14:paraId="67A1D6C0" w14:textId="77777777" w:rsidR="003C7725" w:rsidRDefault="003C7725" w:rsidP="007F7EFE">
      <w:pPr>
        <w:spacing w:after="720" w:line="240" w:lineRule="auto"/>
        <w:rPr>
          <w:rFonts w:cstheme="minorHAnsi"/>
          <w:highlight w:val="yellow"/>
        </w:rPr>
      </w:pPr>
    </w:p>
    <w:p w14:paraId="35878EE3" w14:textId="77777777" w:rsidR="003C7725" w:rsidRPr="00A95E35" w:rsidRDefault="003C7725" w:rsidP="003C7725">
      <w:pPr>
        <w:shd w:val="clear" w:color="auto" w:fill="DEEAF6" w:themeFill="accent5" w:themeFillTint="33"/>
        <w:spacing w:before="360" w:line="240" w:lineRule="auto"/>
        <w:jc w:val="center"/>
        <w:rPr>
          <w:rFonts w:cstheme="minorHAnsi"/>
          <w:u w:val="single"/>
          <w:lang w:val="el-GR"/>
        </w:rPr>
      </w:pPr>
      <w:r w:rsidRPr="00A95E35">
        <w:rPr>
          <w:rFonts w:cstheme="minorHAnsi"/>
          <w:u w:val="single"/>
          <w:lang w:val="el-GR"/>
        </w:rPr>
        <w:t>Επεξεργασία και ανάλυση δεδομένων</w:t>
      </w:r>
    </w:p>
    <w:p w14:paraId="2C81714F" w14:textId="77777777" w:rsidR="003C7725" w:rsidRPr="00A95E35" w:rsidRDefault="003C7725" w:rsidP="003C7725">
      <w:pPr>
        <w:shd w:val="clear" w:color="auto" w:fill="DEEAF6" w:themeFill="accent5" w:themeFillTint="33"/>
        <w:spacing w:line="240" w:lineRule="auto"/>
        <w:jc w:val="center"/>
        <w:rPr>
          <w:rFonts w:cstheme="minorHAnsi"/>
          <w:lang w:val="el-GR"/>
        </w:rPr>
      </w:pPr>
      <w:r w:rsidRPr="00A95E35">
        <w:rPr>
          <w:rFonts w:cstheme="minorHAnsi"/>
          <w:lang w:val="el-GR"/>
        </w:rPr>
        <w:t xml:space="preserve">Φανή Προβή, </w:t>
      </w:r>
      <w:proofErr w:type="spellStart"/>
      <w:r w:rsidRPr="00A95E35">
        <w:rPr>
          <w:rFonts w:cstheme="minorHAnsi"/>
          <w:lang w:val="el-GR"/>
        </w:rPr>
        <w:t>Ma</w:t>
      </w:r>
      <w:proofErr w:type="spellEnd"/>
      <w:r w:rsidRPr="00A95E35">
        <w:rPr>
          <w:rFonts w:cstheme="minorHAnsi"/>
          <w:lang w:val="el-GR"/>
        </w:rPr>
        <w:t xml:space="preserve"> Social Research</w:t>
      </w:r>
    </w:p>
    <w:p w14:paraId="7CE4AB2D" w14:textId="77777777" w:rsidR="003C7725" w:rsidRPr="00E053B3" w:rsidRDefault="003C7725" w:rsidP="003C7725">
      <w:pPr>
        <w:shd w:val="clear" w:color="auto" w:fill="DEEAF6" w:themeFill="accent5" w:themeFillTint="33"/>
        <w:spacing w:after="480" w:line="240" w:lineRule="auto"/>
        <w:jc w:val="center"/>
        <w:rPr>
          <w:rFonts w:cstheme="minorHAnsi"/>
          <w:i/>
          <w:iCs/>
          <w:sz w:val="21"/>
          <w:szCs w:val="21"/>
          <w:lang w:val="el-GR"/>
        </w:rPr>
      </w:pPr>
      <w:r w:rsidRPr="00E053B3">
        <w:rPr>
          <w:rFonts w:cstheme="minorHAnsi"/>
          <w:i/>
          <w:iCs/>
          <w:sz w:val="21"/>
          <w:szCs w:val="21"/>
          <w:lang w:val="el-GR"/>
        </w:rPr>
        <w:t>Επιστημονική Υπεύθυνη Παρατηρητηρίου Θεμάτων Αναπηρίας / Επιστημονικό Στέλεχος Ε.Σ.Α.μεΑ.</w:t>
      </w:r>
    </w:p>
    <w:p w14:paraId="6B87E87D" w14:textId="77777777" w:rsidR="003C7725" w:rsidRPr="00A95E35" w:rsidRDefault="003C7725" w:rsidP="003C7725">
      <w:pPr>
        <w:spacing w:before="120"/>
        <w:rPr>
          <w:sz w:val="20"/>
          <w:szCs w:val="20"/>
          <w:lang w:val="el-GR"/>
        </w:rPr>
      </w:pPr>
      <w:r w:rsidRPr="00A95E35">
        <w:rPr>
          <w:noProof/>
        </w:rPr>
        <w:drawing>
          <wp:anchor distT="0" distB="0" distL="114300" distR="114300" simplePos="0" relativeHeight="251661312" behindDoc="0" locked="0" layoutInCell="1" allowOverlap="1" wp14:anchorId="1BF0BEB9" wp14:editId="143B6D61">
            <wp:simplePos x="0" y="0"/>
            <wp:positionH relativeFrom="column">
              <wp:posOffset>766445</wp:posOffset>
            </wp:positionH>
            <wp:positionV relativeFrom="paragraph">
              <wp:posOffset>191770</wp:posOffset>
            </wp:positionV>
            <wp:extent cx="914400" cy="914400"/>
            <wp:effectExtent l="0" t="0" r="0" b="0"/>
            <wp:wrapSquare wrapText="bothSides"/>
            <wp:docPr id="1543200339"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6057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pic:spPr>
                </pic:pic>
              </a:graphicData>
            </a:graphic>
          </wp:anchor>
        </w:drawing>
      </w:r>
    </w:p>
    <w:p w14:paraId="57EEE916" w14:textId="77777777" w:rsidR="003C7725" w:rsidRPr="00A95E35" w:rsidRDefault="003C7725" w:rsidP="003C7725">
      <w:pPr>
        <w:pBdr>
          <w:top w:val="single" w:sz="4" w:space="1" w:color="auto"/>
        </w:pBdr>
        <w:ind w:left="2835" w:right="423"/>
        <w:rPr>
          <w:sz w:val="20"/>
          <w:szCs w:val="20"/>
          <w:lang w:val="el-GR"/>
        </w:rPr>
      </w:pPr>
      <w:r w:rsidRPr="00A95E35">
        <w:rPr>
          <w:sz w:val="20"/>
          <w:szCs w:val="20"/>
          <w:lang w:val="el-GR"/>
        </w:rPr>
        <w:t xml:space="preserve">Προσβάσιμο αρχείο </w:t>
      </w:r>
      <w:r w:rsidRPr="00A95E35">
        <w:rPr>
          <w:sz w:val="20"/>
          <w:szCs w:val="20"/>
          <w:lang w:val="en-GB"/>
        </w:rPr>
        <w:t>Microsoft</w:t>
      </w:r>
      <w:r w:rsidRPr="00A95E35">
        <w:rPr>
          <w:sz w:val="20"/>
          <w:szCs w:val="20"/>
          <w:lang w:val="el-GR"/>
        </w:rPr>
        <w:t xml:space="preserve"> </w:t>
      </w:r>
      <w:r w:rsidRPr="00A95E35">
        <w:rPr>
          <w:sz w:val="20"/>
          <w:szCs w:val="20"/>
          <w:lang w:val="en-GB"/>
        </w:rPr>
        <w:t>Word</w:t>
      </w:r>
      <w:r w:rsidRPr="00A95E35">
        <w:rPr>
          <w:sz w:val="20"/>
          <w:szCs w:val="20"/>
          <w:lang w:val="el-GR"/>
        </w:rPr>
        <w:t xml:space="preserve"> (*.</w:t>
      </w:r>
      <w:r w:rsidRPr="00A95E35">
        <w:rPr>
          <w:sz w:val="20"/>
          <w:szCs w:val="20"/>
          <w:lang w:val="en-GB"/>
        </w:rPr>
        <w:t>docx</w:t>
      </w:r>
      <w:r w:rsidRPr="00A95E35">
        <w:rPr>
          <w:sz w:val="20"/>
          <w:szCs w:val="20"/>
          <w:lang w:val="el-GR"/>
        </w:rPr>
        <w:t>)</w:t>
      </w:r>
    </w:p>
    <w:p w14:paraId="0370DD91" w14:textId="77777777" w:rsidR="003C7725" w:rsidRPr="00A95E35" w:rsidRDefault="003C7725" w:rsidP="003C7725">
      <w:pPr>
        <w:pBdr>
          <w:bottom w:val="single" w:sz="4" w:space="1" w:color="auto"/>
        </w:pBdr>
        <w:ind w:left="2835" w:right="423"/>
        <w:rPr>
          <w:rFonts w:cstheme="minorHAnsi"/>
          <w:lang w:val="el-GR"/>
        </w:rPr>
      </w:pPr>
      <w:r w:rsidRPr="00A95E35">
        <w:rPr>
          <w:sz w:val="20"/>
          <w:szCs w:val="20"/>
          <w:lang w:val="el-GR"/>
        </w:rPr>
        <w:t xml:space="preserve">Το παρόν αρχείο ελέγχθηκε με το εργαλείο </w:t>
      </w:r>
      <w:r w:rsidRPr="00A95E35">
        <w:rPr>
          <w:i/>
          <w:sz w:val="20"/>
          <w:szCs w:val="20"/>
          <w:lang w:val="en-GB"/>
        </w:rPr>
        <w:t>Microsoft</w:t>
      </w:r>
      <w:r w:rsidRPr="00A95E35">
        <w:rPr>
          <w:i/>
          <w:sz w:val="20"/>
          <w:szCs w:val="20"/>
          <w:lang w:val="el-GR"/>
        </w:rPr>
        <w:t xml:space="preserve"> </w:t>
      </w:r>
      <w:r w:rsidRPr="00A95E35">
        <w:rPr>
          <w:i/>
          <w:sz w:val="20"/>
          <w:szCs w:val="20"/>
          <w:lang w:val="en-GB"/>
        </w:rPr>
        <w:t>Accessibility</w:t>
      </w:r>
      <w:r w:rsidRPr="00A95E35">
        <w:rPr>
          <w:i/>
          <w:sz w:val="20"/>
          <w:szCs w:val="20"/>
          <w:lang w:val="el-GR"/>
        </w:rPr>
        <w:t xml:space="preserve"> </w:t>
      </w:r>
      <w:r w:rsidRPr="00A95E35">
        <w:rPr>
          <w:i/>
          <w:sz w:val="20"/>
          <w:szCs w:val="20"/>
          <w:lang w:val="en-GB"/>
        </w:rPr>
        <w:t>Checker</w:t>
      </w:r>
      <w:r w:rsidRPr="00A95E35">
        <w:rPr>
          <w:i/>
          <w:sz w:val="20"/>
          <w:szCs w:val="20"/>
          <w:lang w:val="el-GR"/>
        </w:rPr>
        <w:t xml:space="preserve"> </w:t>
      </w:r>
      <w:r w:rsidRPr="00A95E35">
        <w:rPr>
          <w:sz w:val="20"/>
          <w:szCs w:val="20"/>
          <w:lang w:val="el-GR"/>
        </w:rPr>
        <w:t>και δεν βρέθηκαν θέματα προσβασιμότητας. Τα άτομα με αναπηρία δεν θα αντιμετωπίζουν δυσκολίες στην ανάγνωσή του.</w:t>
      </w:r>
    </w:p>
    <w:p w14:paraId="050B683C" w14:textId="714E909F" w:rsidR="007D51AE" w:rsidRDefault="007D51AE">
      <w:pPr>
        <w:pStyle w:val="af2"/>
        <w:ind w:left="0"/>
        <w:jc w:val="both"/>
        <w:rPr>
          <w:rStyle w:val="tlid-translation"/>
          <w:lang w:val="el-GR"/>
        </w:rPr>
      </w:pPr>
    </w:p>
    <w:p w14:paraId="55201545" w14:textId="77777777" w:rsidR="003C7725" w:rsidRDefault="003C7725">
      <w:pPr>
        <w:spacing w:after="0" w:line="240" w:lineRule="auto"/>
        <w:rPr>
          <w:rFonts w:asciiTheme="majorHAnsi" w:eastAsiaTheme="majorEastAsia" w:hAnsiTheme="majorHAnsi" w:cstheme="majorBidi"/>
          <w:b/>
          <w:bCs/>
          <w:color w:val="000000" w:themeColor="text1"/>
          <w:sz w:val="32"/>
          <w:szCs w:val="32"/>
          <w:u w:val="single"/>
          <w:lang w:val="el-GR"/>
        </w:rPr>
      </w:pPr>
      <w:r>
        <w:rPr>
          <w:b/>
          <w:bCs/>
          <w:color w:val="000000" w:themeColor="text1"/>
          <w:u w:val="single"/>
          <w:lang w:val="el-GR"/>
        </w:rPr>
        <w:br w:type="page"/>
      </w:r>
    </w:p>
    <w:p w14:paraId="21AA760E" w14:textId="6E0F1EDE" w:rsidR="007D51AE" w:rsidRPr="00E96E30" w:rsidRDefault="00000000">
      <w:pPr>
        <w:pStyle w:val="10"/>
        <w:numPr>
          <w:ilvl w:val="0"/>
          <w:numId w:val="0"/>
        </w:numPr>
        <w:spacing w:before="600" w:after="240"/>
        <w:jc w:val="center"/>
        <w:rPr>
          <w:b/>
          <w:bCs/>
          <w:color w:val="000000" w:themeColor="text1"/>
          <w:u w:val="single"/>
          <w:lang w:val="el-GR"/>
        </w:rPr>
      </w:pPr>
      <w:bookmarkStart w:id="0" w:name="_Toc185524529"/>
      <w:r w:rsidRPr="00E96E30">
        <w:rPr>
          <w:b/>
          <w:bCs/>
          <w:color w:val="000000" w:themeColor="text1"/>
          <w:u w:val="single"/>
          <w:lang w:val="el-GR"/>
        </w:rPr>
        <w:lastRenderedPageBreak/>
        <w:t>ΕΙΣΑΓΩΓΗ</w:t>
      </w:r>
      <w:bookmarkEnd w:id="0"/>
    </w:p>
    <w:p w14:paraId="076E5A9C" w14:textId="63A377F5" w:rsidR="00843977" w:rsidRPr="004528C4" w:rsidRDefault="00843977" w:rsidP="00843977">
      <w:pPr>
        <w:pStyle w:val="af2"/>
        <w:spacing w:after="200"/>
        <w:ind w:left="0"/>
        <w:contextualSpacing w:val="0"/>
        <w:jc w:val="both"/>
        <w:rPr>
          <w:rStyle w:val="tlid-translation"/>
          <w:sz w:val="24"/>
          <w:szCs w:val="24"/>
          <w:lang w:val="el-GR"/>
        </w:rPr>
      </w:pPr>
      <w:r w:rsidRPr="00CD42B7">
        <w:rPr>
          <w:rStyle w:val="tlid-translation"/>
          <w:sz w:val="24"/>
          <w:szCs w:val="24"/>
          <w:lang w:val="el-GR"/>
        </w:rPr>
        <w:t>Αντικείμενο του παρόντος είναι η φτώχεια και ο κοινωνικός αποκλεισμός στα άτομα με αναπηρία. Τα άτομα με αναπηρία αποτελούν μια πληθυσμιακή ομάδα που βιώνει με τον πλέον σκληρό τρόπο, τις επιπτώσεις μιας παρατεταμένης και πολύπλευρης κρίσης. Στο σημερινό δυσχερές για την κοινωνία πλαίσιο, πέραν τις οικονομικής κρίσης έχουν προστεθεί υγειονομικές, κλιματικές και ενεργειακές απειλές, που επιδρούν επίσης υπέρμετρα στο βιοτικό επίπεδο των ατόμων με αναπηρία</w:t>
      </w:r>
      <w:r w:rsidR="000B790C">
        <w:rPr>
          <w:rStyle w:val="tlid-translation"/>
          <w:sz w:val="24"/>
          <w:szCs w:val="24"/>
          <w:lang w:val="el-GR"/>
        </w:rPr>
        <w:t xml:space="preserve"> </w:t>
      </w:r>
      <w:r w:rsidR="00FA06AE" w:rsidRPr="004528C4">
        <w:rPr>
          <w:rStyle w:val="tlid-translation"/>
          <w:sz w:val="24"/>
          <w:szCs w:val="24"/>
          <w:lang w:val="el-GR"/>
        </w:rPr>
        <w:t>με</w:t>
      </w:r>
      <w:r w:rsidR="000B790C" w:rsidRPr="004528C4">
        <w:rPr>
          <w:rStyle w:val="tlid-translation"/>
          <w:sz w:val="24"/>
          <w:szCs w:val="24"/>
          <w:lang w:val="el-GR"/>
        </w:rPr>
        <w:t xml:space="preserve"> </w:t>
      </w:r>
      <w:r w:rsidRPr="004528C4">
        <w:rPr>
          <w:rStyle w:val="tlid-translation"/>
          <w:sz w:val="24"/>
          <w:szCs w:val="24"/>
          <w:lang w:val="el-GR"/>
        </w:rPr>
        <w:t xml:space="preserve">χρόνιες </w:t>
      </w:r>
      <w:r w:rsidR="00FA06AE" w:rsidRPr="004528C4">
        <w:rPr>
          <w:rStyle w:val="tlid-translation"/>
          <w:sz w:val="24"/>
          <w:szCs w:val="24"/>
          <w:lang w:val="el-GR"/>
        </w:rPr>
        <w:t>ή</w:t>
      </w:r>
      <w:r w:rsidR="00E85F05" w:rsidRPr="004528C4">
        <w:rPr>
          <w:rStyle w:val="tlid-translation"/>
          <w:sz w:val="24"/>
          <w:szCs w:val="24"/>
          <w:lang w:val="el-GR"/>
        </w:rPr>
        <w:t>/</w:t>
      </w:r>
      <w:r w:rsidR="000B790C" w:rsidRPr="004528C4">
        <w:rPr>
          <w:rStyle w:val="tlid-translation"/>
          <w:sz w:val="24"/>
          <w:szCs w:val="24"/>
          <w:lang w:val="el-GR"/>
        </w:rPr>
        <w:t xml:space="preserve">και σπάνιες </w:t>
      </w:r>
      <w:r w:rsidRPr="004528C4">
        <w:rPr>
          <w:rStyle w:val="tlid-translation"/>
          <w:sz w:val="24"/>
          <w:szCs w:val="24"/>
          <w:lang w:val="el-GR"/>
        </w:rPr>
        <w:t>παθήσεις.</w:t>
      </w:r>
    </w:p>
    <w:p w14:paraId="2F96C8C5" w14:textId="77777777" w:rsidR="00843977" w:rsidRPr="00CD42B7" w:rsidRDefault="00843977" w:rsidP="00843977">
      <w:pPr>
        <w:pStyle w:val="af2"/>
        <w:spacing w:after="200"/>
        <w:ind w:left="0"/>
        <w:contextualSpacing w:val="0"/>
        <w:jc w:val="both"/>
        <w:rPr>
          <w:rStyle w:val="tlid-translation"/>
          <w:sz w:val="24"/>
          <w:szCs w:val="24"/>
          <w:lang w:val="el-GR"/>
        </w:rPr>
      </w:pPr>
      <w:r w:rsidRPr="00CD42B7">
        <w:rPr>
          <w:rStyle w:val="tlid-translation"/>
          <w:sz w:val="24"/>
          <w:szCs w:val="24"/>
          <w:lang w:val="el-GR"/>
        </w:rPr>
        <w:t>Στο παρόν δελτίο, αναλύονται συγκριτικά τα δεδομένα της φτώχειας και του κοινωνικού αποκλεισμού στον πληθυσμό των ατόμων με και χωρίς αναπηρία για το έτος 2023, με περίοδο αναφοράς εισοδήματος το 2022, και αποτυπώνονται οι διαχρονικές μεταβολές το διάστημα 2015-2023.</w:t>
      </w:r>
    </w:p>
    <w:p w14:paraId="46A10CF3" w14:textId="77777777" w:rsidR="00843977" w:rsidRPr="00CD42B7" w:rsidRDefault="00843977" w:rsidP="00843977">
      <w:pPr>
        <w:pStyle w:val="af2"/>
        <w:spacing w:after="200"/>
        <w:ind w:left="0"/>
        <w:contextualSpacing w:val="0"/>
        <w:jc w:val="both"/>
        <w:rPr>
          <w:rStyle w:val="tlid-translation"/>
          <w:sz w:val="24"/>
          <w:szCs w:val="24"/>
          <w:lang w:val="el-GR"/>
        </w:rPr>
      </w:pPr>
      <w:r w:rsidRPr="00CD42B7">
        <w:rPr>
          <w:rStyle w:val="tlid-translation"/>
          <w:sz w:val="24"/>
          <w:szCs w:val="24"/>
          <w:lang w:val="el-GR"/>
        </w:rPr>
        <w:t>Πηγή των δεδομένων αποτελεί η δειγματοληπτική Έρευνα Εισοδήματος και Συνθηκών Διαβίωσης των Νοικοκυριών (</w:t>
      </w:r>
      <w:r w:rsidRPr="00CD42B7">
        <w:rPr>
          <w:rStyle w:val="tlid-translation"/>
          <w:sz w:val="24"/>
          <w:szCs w:val="24"/>
          <w:lang w:val="en-GB"/>
        </w:rPr>
        <w:t>EU</w:t>
      </w:r>
      <w:r w:rsidRPr="00CD42B7">
        <w:rPr>
          <w:rStyle w:val="tlid-translation"/>
          <w:sz w:val="24"/>
          <w:szCs w:val="24"/>
          <w:lang w:val="el-GR"/>
        </w:rPr>
        <w:t>-</w:t>
      </w:r>
      <w:r w:rsidRPr="00CD42B7">
        <w:rPr>
          <w:rStyle w:val="tlid-translation"/>
          <w:sz w:val="24"/>
          <w:szCs w:val="24"/>
          <w:lang w:val="en-GB"/>
        </w:rPr>
        <w:t>SILC</w:t>
      </w:r>
      <w:r w:rsidRPr="00CD42B7">
        <w:rPr>
          <w:rStyle w:val="tlid-translation"/>
          <w:sz w:val="24"/>
          <w:szCs w:val="24"/>
          <w:lang w:val="el-GR"/>
        </w:rPr>
        <w:t xml:space="preserve"> -</w:t>
      </w:r>
      <w:r w:rsidRPr="00CD42B7">
        <w:rPr>
          <w:rStyle w:val="tlid-translation"/>
          <w:sz w:val="24"/>
          <w:szCs w:val="24"/>
          <w:lang w:val="en-GB"/>
        </w:rPr>
        <w:t>Statistics</w:t>
      </w:r>
      <w:r w:rsidRPr="00CD42B7">
        <w:rPr>
          <w:rStyle w:val="tlid-translation"/>
          <w:sz w:val="24"/>
          <w:szCs w:val="24"/>
          <w:lang w:val="el-GR"/>
        </w:rPr>
        <w:t xml:space="preserve"> </w:t>
      </w:r>
      <w:r w:rsidRPr="00CD42B7">
        <w:rPr>
          <w:rStyle w:val="tlid-translation"/>
          <w:sz w:val="24"/>
          <w:szCs w:val="24"/>
          <w:lang w:val="en-GB"/>
        </w:rPr>
        <w:t>on</w:t>
      </w:r>
      <w:r w:rsidRPr="00CD42B7">
        <w:rPr>
          <w:rStyle w:val="tlid-translation"/>
          <w:sz w:val="24"/>
          <w:szCs w:val="24"/>
          <w:lang w:val="el-GR"/>
        </w:rPr>
        <w:t xml:space="preserve"> </w:t>
      </w:r>
      <w:r w:rsidRPr="00CD42B7">
        <w:rPr>
          <w:rStyle w:val="tlid-translation"/>
          <w:sz w:val="24"/>
          <w:szCs w:val="24"/>
          <w:lang w:val="en-GB"/>
        </w:rPr>
        <w:t>Income</w:t>
      </w:r>
      <w:r w:rsidRPr="00CD42B7">
        <w:rPr>
          <w:rStyle w:val="tlid-translation"/>
          <w:sz w:val="24"/>
          <w:szCs w:val="24"/>
          <w:lang w:val="el-GR"/>
        </w:rPr>
        <w:t xml:space="preserve"> </w:t>
      </w:r>
      <w:r w:rsidRPr="00CD42B7">
        <w:rPr>
          <w:rStyle w:val="tlid-translation"/>
          <w:sz w:val="24"/>
          <w:szCs w:val="24"/>
          <w:lang w:val="en-GB"/>
        </w:rPr>
        <w:t>and</w:t>
      </w:r>
      <w:r w:rsidRPr="00CD42B7">
        <w:rPr>
          <w:rStyle w:val="tlid-translation"/>
          <w:sz w:val="24"/>
          <w:szCs w:val="24"/>
          <w:lang w:val="el-GR"/>
        </w:rPr>
        <w:t xml:space="preserve"> </w:t>
      </w:r>
      <w:r w:rsidRPr="00CD42B7">
        <w:rPr>
          <w:rStyle w:val="tlid-translation"/>
          <w:sz w:val="24"/>
          <w:szCs w:val="24"/>
          <w:lang w:val="en-GB"/>
        </w:rPr>
        <w:t>Living</w:t>
      </w:r>
      <w:r w:rsidRPr="00CD42B7">
        <w:rPr>
          <w:rStyle w:val="tlid-translation"/>
          <w:sz w:val="24"/>
          <w:szCs w:val="24"/>
          <w:lang w:val="el-GR"/>
        </w:rPr>
        <w:t xml:space="preserve"> </w:t>
      </w:r>
      <w:r w:rsidRPr="00CD42B7">
        <w:rPr>
          <w:rStyle w:val="tlid-translation"/>
          <w:sz w:val="24"/>
          <w:szCs w:val="24"/>
          <w:lang w:val="en-GB"/>
        </w:rPr>
        <w:t>Conditions</w:t>
      </w:r>
      <w:r w:rsidRPr="00CD42B7">
        <w:rPr>
          <w:rStyle w:val="tlid-translation"/>
          <w:sz w:val="24"/>
          <w:szCs w:val="24"/>
          <w:lang w:val="el-GR"/>
        </w:rPr>
        <w:t xml:space="preserve">) της </w:t>
      </w:r>
      <w:r w:rsidRPr="00CD42B7">
        <w:rPr>
          <w:rStyle w:val="tlid-translation"/>
          <w:sz w:val="24"/>
          <w:szCs w:val="24"/>
          <w:lang w:val="en-GB"/>
        </w:rPr>
        <w:t>Eurostat</w:t>
      </w:r>
      <w:r w:rsidRPr="00CD42B7">
        <w:rPr>
          <w:rStyle w:val="tlid-translation"/>
          <w:sz w:val="24"/>
          <w:szCs w:val="24"/>
          <w:lang w:val="el-GR"/>
        </w:rPr>
        <w:t xml:space="preserve">, που διενεργείται στην Ελλάδα από την Ελληνική Στατιστική Αρχή, και αποτελεί τη βασική πηγή αναφοράς των συγκριτικών στατιστικών για την κατανομή του εισοδήματος και τον κοινωνικό αποκλεισμό σε εθνικό και ευρωπαϊκό επίπεδο. </w:t>
      </w:r>
    </w:p>
    <w:p w14:paraId="2B7AA8E2" w14:textId="77777777" w:rsidR="00843977" w:rsidRPr="00CE0E83" w:rsidRDefault="00843977" w:rsidP="00843977">
      <w:pPr>
        <w:pStyle w:val="af2"/>
        <w:spacing w:after="200"/>
        <w:ind w:left="0"/>
        <w:contextualSpacing w:val="0"/>
        <w:jc w:val="both"/>
        <w:rPr>
          <w:rStyle w:val="tlid-translation"/>
          <w:sz w:val="24"/>
          <w:szCs w:val="24"/>
          <w:lang w:val="el-GR"/>
        </w:rPr>
      </w:pPr>
      <w:r w:rsidRPr="00CE0E83">
        <w:rPr>
          <w:rStyle w:val="tlid-translation"/>
          <w:sz w:val="24"/>
          <w:szCs w:val="24"/>
          <w:lang w:val="el-GR"/>
        </w:rPr>
        <w:t xml:space="preserve">Ειδικότερα, εξετάζεται ο σύνθετος δείκτης «Πληθυσμός σε κίνδυνο φτώχειας ή σε κοινωνικό αποκλεισμό», ο οποίος αποτελεί δείκτη αναφοράς σε επίπεδο Ε.Ε. για την καταπολέμηση της φτώχειας και του κοινωνικού αποκλεισμού, και αναλύονται και οι επιμέρους συνιστώσες που τον απαρτίζουν. </w:t>
      </w:r>
    </w:p>
    <w:p w14:paraId="1BADC171" w14:textId="77777777" w:rsidR="00843977" w:rsidRPr="00CE0E83" w:rsidRDefault="00843977" w:rsidP="00843977">
      <w:pPr>
        <w:pStyle w:val="af2"/>
        <w:spacing w:after="200"/>
        <w:ind w:left="0"/>
        <w:contextualSpacing w:val="0"/>
        <w:jc w:val="both"/>
        <w:rPr>
          <w:sz w:val="24"/>
          <w:szCs w:val="24"/>
          <w:lang w:val="el-GR"/>
        </w:rPr>
      </w:pPr>
      <w:r w:rsidRPr="00CE0E83">
        <w:rPr>
          <w:sz w:val="24"/>
          <w:szCs w:val="24"/>
          <w:lang w:val="el-GR"/>
        </w:rPr>
        <w:t>Ωστόσο, επισημαίνεται ότι, το 2021 ο δείκτης «πληθυσμός σε κίνδυνο φτώχειας ή σε κοινωνικό αποκλεισμό» αναθεωρήθηκε από την Eurostat, στο πλαίσιο της νέας Στρατηγικής της Ευρωπαϊκής Ένωσης «Europe 2030». Πιο συγκεκριμένα, αναθεωρήθηκε ο τρόπος υπολογισμού της συνιστώσας του δείκτη «Ποσοστό ατόμων με σοβαρές υλικές στερήσεις», ενώ μετονομάστηκε σε «Ποσοστό ατόμων με σοβαρές υλικές και κοινωνικές στερήσεις». Επίσης τροποποιήθηκε η μεθοδολογία υπολογισμού της συνιστώσας του δείκτη «Ποσοστό ατόμων που διαβιούν σε νοικοκυριά με χαμηλή ένταση εργασίας».</w:t>
      </w:r>
    </w:p>
    <w:p w14:paraId="73E2CFA2" w14:textId="113DCBD9" w:rsidR="00843977" w:rsidRPr="00CE0E83" w:rsidRDefault="00843977" w:rsidP="00843977">
      <w:pPr>
        <w:pStyle w:val="af2"/>
        <w:spacing w:after="200"/>
        <w:ind w:left="0"/>
        <w:contextualSpacing w:val="0"/>
        <w:jc w:val="both"/>
        <w:rPr>
          <w:sz w:val="24"/>
          <w:szCs w:val="24"/>
          <w:lang w:val="el-GR"/>
        </w:rPr>
      </w:pPr>
      <w:r w:rsidRPr="00CE0E83">
        <w:rPr>
          <w:sz w:val="24"/>
          <w:szCs w:val="24"/>
          <w:lang w:val="el-GR"/>
        </w:rPr>
        <w:t>Αξίζει να σημειωθεί ότι, η αναθεωρημένη μέθοδος υπολογισμού του δείκτη μειώνει σημαντικά τις ποσοτικές εκτιμήσεις του φαινομένου της φτώχειας και του κοινωνικού αποκλεισμού τόσο σε ευρωπαϊκό όσο και σε εθνικό επίπεδο. Για παράδειγμα, σύμφωνα με τον προηγούμενο τρόπο υπολογισμού (</w:t>
      </w:r>
      <w:r w:rsidRPr="00CE0E83">
        <w:rPr>
          <w:sz w:val="24"/>
          <w:szCs w:val="24"/>
        </w:rPr>
        <w:t>Europe</w:t>
      </w:r>
      <w:r w:rsidRPr="00CE0E83">
        <w:rPr>
          <w:sz w:val="24"/>
          <w:szCs w:val="24"/>
          <w:lang w:val="el-GR"/>
        </w:rPr>
        <w:t xml:space="preserve"> 2020), το 2022 το ποσοστό του συνολικού πληθυσμού της Ελλάδας που βρίσκονταν σε κίνδυνο φτώχειας ή σε κοινωνικό αποκλεισμό ήταν 29,1%, ενώ σύμφωνα με τη νέα μέθοδο υπολογισμού εκτιμάται σε 26,3% (</w:t>
      </w:r>
      <w:r w:rsidRPr="00CE0E83">
        <w:rPr>
          <w:sz w:val="24"/>
          <w:szCs w:val="24"/>
        </w:rPr>
        <w:t>Europe</w:t>
      </w:r>
      <w:r w:rsidRPr="00CE0E83">
        <w:rPr>
          <w:sz w:val="24"/>
          <w:szCs w:val="24"/>
          <w:lang w:val="el-GR"/>
        </w:rPr>
        <w:t xml:space="preserve"> 2030)</w:t>
      </w:r>
      <w:r w:rsidRPr="00CE0E83">
        <w:rPr>
          <w:sz w:val="24"/>
          <w:szCs w:val="24"/>
          <w:vertAlign w:val="superscript"/>
          <w:lang w:val="el-GR"/>
        </w:rPr>
        <w:footnoteReference w:id="1"/>
      </w:r>
      <w:r w:rsidRPr="00CE0E83">
        <w:rPr>
          <w:sz w:val="24"/>
          <w:szCs w:val="24"/>
          <w:lang w:val="el-GR"/>
        </w:rPr>
        <w:t>.</w:t>
      </w:r>
    </w:p>
    <w:p w14:paraId="5F4473E8" w14:textId="77777777" w:rsidR="00843977" w:rsidRPr="00CE0E83" w:rsidRDefault="00843977" w:rsidP="00843977">
      <w:pPr>
        <w:pStyle w:val="af2"/>
        <w:spacing w:after="200"/>
        <w:ind w:left="0"/>
        <w:contextualSpacing w:val="0"/>
        <w:jc w:val="both"/>
        <w:rPr>
          <w:sz w:val="24"/>
          <w:szCs w:val="24"/>
          <w:lang w:val="el-GR"/>
        </w:rPr>
      </w:pPr>
      <w:r w:rsidRPr="00CE0E83">
        <w:rPr>
          <w:sz w:val="24"/>
          <w:szCs w:val="24"/>
          <w:lang w:val="el-GR"/>
        </w:rPr>
        <w:lastRenderedPageBreak/>
        <w:t>Αναλυτικότερα, προκειμένου να αποτυπωθεί το βιοτικό επίπεδο του πληθυσμού, στον δείκτη λαμβάνονται υπόψη: ο κίνδυνος φτώχειας σε όρους ονομαστικού εισοδήματος (Ποσοστό πληθυσμού σε κίνδυνο φτώχειας), οι υλικές και κοινωνικές στερήσεις που αντιμετωπίζουν τα νοικοκυριά (Ποσοστό πληθυσμού με σοβαρές υλικές και κοινωνικές στερήσεις), καθώς και η ένταση της εργασίας των μελών των νοικοκυριών (Πληθυσμός που διαβιεί σε νοικοκυριά με χαμηλή ένταση εργασίας).</w:t>
      </w:r>
    </w:p>
    <w:p w14:paraId="601F8770" w14:textId="77777777" w:rsidR="00843977" w:rsidRDefault="00843977" w:rsidP="00843977">
      <w:pPr>
        <w:pStyle w:val="af2"/>
        <w:spacing w:after="200"/>
        <w:ind w:left="0"/>
        <w:contextualSpacing w:val="0"/>
        <w:jc w:val="both"/>
        <w:rPr>
          <w:rStyle w:val="tlid-translation"/>
          <w:sz w:val="24"/>
          <w:szCs w:val="24"/>
          <w:lang w:val="el-GR"/>
        </w:rPr>
      </w:pPr>
      <w:r w:rsidRPr="00CE0E83">
        <w:rPr>
          <w:rStyle w:val="tlid-translation"/>
          <w:sz w:val="24"/>
          <w:szCs w:val="24"/>
          <w:lang w:val="el-GR"/>
        </w:rPr>
        <w:t>Στην Έρευνα αναφοράς η πληθυσμιακή ομάδα των ατόμων με αναπηρία προσεγγίζεται στατιστικά με τον δείκτη GALI (</w:t>
      </w:r>
      <w:r w:rsidRPr="00CE0E83">
        <w:rPr>
          <w:rStyle w:val="tlid-translation"/>
          <w:sz w:val="24"/>
          <w:szCs w:val="24"/>
          <w:lang w:val="en-GB"/>
        </w:rPr>
        <w:t>Global</w:t>
      </w:r>
      <w:r w:rsidRPr="00CE0E83">
        <w:rPr>
          <w:rStyle w:val="tlid-translation"/>
          <w:sz w:val="24"/>
          <w:szCs w:val="24"/>
          <w:lang w:val="el-GR"/>
        </w:rPr>
        <w:t xml:space="preserve"> </w:t>
      </w:r>
      <w:r w:rsidRPr="00CE0E83">
        <w:rPr>
          <w:rStyle w:val="tlid-translation"/>
          <w:sz w:val="24"/>
          <w:szCs w:val="24"/>
          <w:lang w:val="en-GB"/>
        </w:rPr>
        <w:t>Activity</w:t>
      </w:r>
      <w:r w:rsidRPr="00CE0E83">
        <w:rPr>
          <w:rStyle w:val="tlid-translation"/>
          <w:sz w:val="24"/>
          <w:szCs w:val="24"/>
          <w:lang w:val="el-GR"/>
        </w:rPr>
        <w:t xml:space="preserve"> </w:t>
      </w:r>
      <w:r w:rsidRPr="00CE0E83">
        <w:rPr>
          <w:rStyle w:val="tlid-translation"/>
          <w:sz w:val="24"/>
          <w:szCs w:val="24"/>
          <w:lang w:val="en-GB"/>
        </w:rPr>
        <w:t>Limitation</w:t>
      </w:r>
      <w:r w:rsidRPr="00CE0E83">
        <w:rPr>
          <w:rStyle w:val="tlid-translation"/>
          <w:sz w:val="24"/>
          <w:szCs w:val="24"/>
          <w:lang w:val="el-GR"/>
        </w:rPr>
        <w:t xml:space="preserve"> </w:t>
      </w:r>
      <w:r w:rsidRPr="00CE0E83">
        <w:rPr>
          <w:rStyle w:val="tlid-translation"/>
          <w:sz w:val="24"/>
          <w:szCs w:val="24"/>
          <w:lang w:val="en-GB"/>
        </w:rPr>
        <w:t>Index</w:t>
      </w:r>
      <w:r w:rsidRPr="00CE0E83">
        <w:rPr>
          <w:rStyle w:val="tlid-translation"/>
          <w:sz w:val="24"/>
          <w:szCs w:val="24"/>
          <w:lang w:val="el-GR"/>
        </w:rPr>
        <w:t xml:space="preserve">). Πρόκειται για έναν έμμεσο δείκτη προσδιορισμού της αναπηρίας, ο οποίος βασίζεται στην </w:t>
      </w:r>
      <w:proofErr w:type="spellStart"/>
      <w:r w:rsidRPr="00CE0E83">
        <w:rPr>
          <w:rStyle w:val="tlid-translation"/>
          <w:sz w:val="24"/>
          <w:szCs w:val="24"/>
          <w:lang w:val="el-GR"/>
        </w:rPr>
        <w:t>αυτοαναφορά</w:t>
      </w:r>
      <w:proofErr w:type="spellEnd"/>
      <w:r w:rsidRPr="00CE0E83">
        <w:rPr>
          <w:rStyle w:val="tlid-translation"/>
          <w:sz w:val="24"/>
          <w:szCs w:val="24"/>
          <w:lang w:val="el-GR"/>
        </w:rPr>
        <w:t xml:space="preserve"> περιορισμού της συνήθους δραστηριότητας του ατόμου, εξαιτίας προβλημάτων υγείας.</w:t>
      </w:r>
    </w:p>
    <w:p w14:paraId="349BACB4" w14:textId="77777777" w:rsidR="00843977" w:rsidRDefault="00843977" w:rsidP="00843977">
      <w:pPr>
        <w:spacing w:after="200"/>
        <w:jc w:val="both"/>
        <w:rPr>
          <w:rStyle w:val="tlid-translation"/>
          <w:sz w:val="24"/>
          <w:szCs w:val="24"/>
          <w:lang w:val="el-GR"/>
        </w:rPr>
      </w:pPr>
      <w:r w:rsidRPr="003E1AF8">
        <w:rPr>
          <w:rStyle w:val="tlid-translation"/>
          <w:sz w:val="24"/>
          <w:szCs w:val="24"/>
          <w:lang w:val="el-GR"/>
        </w:rPr>
        <w:t>Κατά το έτος 2023 η έρευνα διενεργήθηκε σε τελικό δείγμα 10.717 νοικοκυριών και</w:t>
      </w:r>
      <w:r>
        <w:rPr>
          <w:rStyle w:val="tlid-translation"/>
          <w:sz w:val="24"/>
          <w:szCs w:val="24"/>
          <w:lang w:val="el-GR"/>
        </w:rPr>
        <w:t xml:space="preserve"> </w:t>
      </w:r>
      <w:r w:rsidRPr="003E1AF8">
        <w:rPr>
          <w:rStyle w:val="tlid-translation"/>
          <w:sz w:val="24"/>
          <w:szCs w:val="24"/>
          <w:lang w:val="el-GR"/>
        </w:rPr>
        <w:t>σε 22.936 μέλη των νοικοκυριών αυτών, εκ των οποίων 20.177 ηλικίας 16 ετών και</w:t>
      </w:r>
      <w:r>
        <w:rPr>
          <w:rStyle w:val="tlid-translation"/>
          <w:sz w:val="24"/>
          <w:szCs w:val="24"/>
          <w:lang w:val="el-GR"/>
        </w:rPr>
        <w:t xml:space="preserve"> </w:t>
      </w:r>
      <w:r w:rsidRPr="003E1AF8">
        <w:rPr>
          <w:rStyle w:val="tlid-translation"/>
          <w:sz w:val="24"/>
          <w:szCs w:val="24"/>
          <w:lang w:val="el-GR"/>
        </w:rPr>
        <w:t>άνω</w:t>
      </w:r>
      <w:r>
        <w:rPr>
          <w:rStyle w:val="a9"/>
          <w:sz w:val="24"/>
          <w:szCs w:val="24"/>
          <w:lang w:val="el-GR"/>
        </w:rPr>
        <w:footnoteReference w:id="2"/>
      </w:r>
      <w:r w:rsidRPr="003E1AF8">
        <w:rPr>
          <w:rStyle w:val="tlid-translation"/>
          <w:sz w:val="24"/>
          <w:szCs w:val="24"/>
          <w:lang w:val="el-GR"/>
        </w:rPr>
        <w:t>.</w:t>
      </w:r>
    </w:p>
    <w:p w14:paraId="501CE166" w14:textId="77777777" w:rsidR="007F7EFE" w:rsidRDefault="007F7EFE" w:rsidP="007F7EFE">
      <w:pPr>
        <w:rPr>
          <w:rFonts w:asciiTheme="majorHAnsi" w:eastAsiaTheme="majorEastAsia" w:hAnsiTheme="majorHAnsi" w:cstheme="majorBidi"/>
          <w:sz w:val="32"/>
          <w:szCs w:val="32"/>
          <w:lang w:val="el-GR"/>
        </w:rPr>
      </w:pPr>
      <w:bookmarkStart w:id="1" w:name="_Toc185524530"/>
      <w:bookmarkStart w:id="2" w:name="_Hlk184644538"/>
      <w:r>
        <w:rPr>
          <w:lang w:val="el-GR"/>
        </w:rPr>
        <w:br w:type="page"/>
      </w:r>
    </w:p>
    <w:p w14:paraId="02F05784" w14:textId="4EA5F7B6" w:rsidR="007D51AE" w:rsidRDefault="00000000">
      <w:pPr>
        <w:pStyle w:val="10"/>
        <w:numPr>
          <w:ilvl w:val="0"/>
          <w:numId w:val="0"/>
        </w:numPr>
        <w:spacing w:before="600" w:after="240"/>
        <w:jc w:val="center"/>
        <w:rPr>
          <w:b/>
          <w:bCs/>
          <w:color w:val="auto"/>
          <w:u w:val="single"/>
          <w:lang w:val="el-GR"/>
        </w:rPr>
      </w:pPr>
      <w:r w:rsidRPr="00AE34F2">
        <w:rPr>
          <w:b/>
          <w:bCs/>
          <w:color w:val="auto"/>
          <w:u w:val="single"/>
          <w:lang w:val="el-GR"/>
        </w:rPr>
        <w:lastRenderedPageBreak/>
        <w:t>ΒΑΣΙΚΑ ΕΥΡΥΜΑΤΑ</w:t>
      </w:r>
      <w:bookmarkEnd w:id="1"/>
    </w:p>
    <w:p w14:paraId="75E323E2" w14:textId="77777777" w:rsidR="00602449" w:rsidRPr="004C78D6" w:rsidRDefault="00602449" w:rsidP="00602449">
      <w:pPr>
        <w:pStyle w:val="af2"/>
        <w:spacing w:after="200"/>
        <w:ind w:left="0"/>
        <w:contextualSpacing w:val="0"/>
        <w:jc w:val="both"/>
        <w:rPr>
          <w:rStyle w:val="tlid-translation"/>
          <w:sz w:val="24"/>
          <w:szCs w:val="24"/>
          <w:lang w:val="el-GR"/>
        </w:rPr>
      </w:pPr>
      <w:r w:rsidRPr="004C78D6">
        <w:rPr>
          <w:rStyle w:val="tlid-translation"/>
          <w:sz w:val="24"/>
          <w:szCs w:val="24"/>
          <w:lang w:val="el-GR"/>
        </w:rPr>
        <w:t>Σύμφωνα με τα στοιχεία του έτους 2023, το ποσοστό των ατόμων με σοβαρή αναπηρία/περιορισμό της συνήθους δραστηριότητας εξαιτίας προβλήματος υγείας ανέρχεται σε 9,4%, του πληθυσμού ηλικίας 16 ετών και άνω, ενώ ποσοστό 13,7% του πληθυσμού αντιμετωπίζουν μέτριο περιορισμό δραστηριότητας /αναπηρία</w:t>
      </w:r>
      <w:r w:rsidRPr="004C78D6">
        <w:rPr>
          <w:rStyle w:val="a9"/>
          <w:sz w:val="24"/>
          <w:szCs w:val="24"/>
          <w:lang w:val="el-GR"/>
        </w:rPr>
        <w:footnoteReference w:id="3"/>
      </w:r>
      <w:r w:rsidRPr="004C78D6">
        <w:rPr>
          <w:rStyle w:val="tlid-translation"/>
          <w:sz w:val="24"/>
          <w:szCs w:val="24"/>
          <w:lang w:val="el-GR"/>
        </w:rPr>
        <w:t>.</w:t>
      </w:r>
    </w:p>
    <w:p w14:paraId="25E49767" w14:textId="77777777" w:rsidR="00602449" w:rsidRPr="000A47F8" w:rsidRDefault="00602449" w:rsidP="00602449">
      <w:pPr>
        <w:spacing w:before="360"/>
        <w:jc w:val="both"/>
        <w:rPr>
          <w:b/>
          <w:sz w:val="24"/>
          <w:szCs w:val="24"/>
          <w:u w:val="single"/>
          <w:lang w:val="el-GR"/>
        </w:rPr>
      </w:pPr>
      <w:r w:rsidRPr="000A47F8">
        <w:rPr>
          <w:b/>
          <w:sz w:val="24"/>
          <w:szCs w:val="24"/>
          <w:u w:val="single"/>
          <w:lang w:val="el-GR"/>
        </w:rPr>
        <w:t>Σύνθετος δείκτης «Ποσοστό πληθυσμού σε κίνδυνο φτώχειας ή σε κοινωνικό αποκλεισμό»</w:t>
      </w:r>
    </w:p>
    <w:p w14:paraId="4D911F76" w14:textId="77777777" w:rsidR="00602449"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 xml:space="preserve">Το 2023, σε κίνδυνο φτώχειας ή σε κοινωνικό αποκλεισμό βρίσκεται το </w:t>
      </w:r>
      <w:r w:rsidRPr="000A47F8">
        <w:rPr>
          <w:sz w:val="24"/>
          <w:szCs w:val="24"/>
          <w:lang w:val="el-GR"/>
        </w:rPr>
        <w:t xml:space="preserve">34,1% </w:t>
      </w:r>
      <w:r w:rsidRPr="000A47F8">
        <w:rPr>
          <w:rFonts w:cstheme="minorHAnsi"/>
          <w:sz w:val="24"/>
          <w:szCs w:val="24"/>
          <w:lang w:val="el-GR"/>
        </w:rPr>
        <w:t xml:space="preserve">των ατόμων ηλικίας 16 ετών και άνω με σοβαρή αναπηρία, σύμφωνα με τον δείκτη των Στόχων </w:t>
      </w:r>
      <w:r w:rsidRPr="000A47F8">
        <w:rPr>
          <w:rFonts w:cstheme="minorHAnsi"/>
          <w:sz w:val="24"/>
          <w:szCs w:val="24"/>
        </w:rPr>
        <w:t>Europe</w:t>
      </w:r>
      <w:r w:rsidRPr="000A47F8">
        <w:rPr>
          <w:rFonts w:cstheme="minorHAnsi"/>
          <w:sz w:val="24"/>
          <w:szCs w:val="24"/>
          <w:lang w:val="el-GR"/>
        </w:rPr>
        <w:t xml:space="preserve"> 2030, έναντι του 24,2% των ατόμων χωρίς αναπηρία της ίδιας ηλικίας.</w:t>
      </w:r>
    </w:p>
    <w:p w14:paraId="5370D1ED" w14:textId="53EFBEAE" w:rsidR="00602449"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 xml:space="preserve">Σε σύγκριση με το προηγούμενο έτος (2022) ο δείκτης φτώχειας και αποκλεισμού των ατόμων με σοβαρή </w:t>
      </w:r>
      <w:r w:rsidRPr="004528C4">
        <w:rPr>
          <w:rFonts w:cstheme="minorHAnsi"/>
          <w:sz w:val="24"/>
          <w:szCs w:val="24"/>
          <w:lang w:val="el-GR"/>
        </w:rPr>
        <w:t>αναπηρία καταγρ</w:t>
      </w:r>
      <w:r w:rsidR="00C15A77" w:rsidRPr="004528C4">
        <w:rPr>
          <w:rFonts w:cstheme="minorHAnsi"/>
          <w:sz w:val="24"/>
          <w:szCs w:val="24"/>
          <w:lang w:val="el-GR"/>
        </w:rPr>
        <w:t xml:space="preserve">άφει </w:t>
      </w:r>
      <w:r w:rsidR="00705D39" w:rsidRPr="004528C4">
        <w:rPr>
          <w:rFonts w:cstheme="minorHAnsi"/>
          <w:sz w:val="24"/>
          <w:szCs w:val="24"/>
          <w:lang w:val="el-GR"/>
        </w:rPr>
        <w:t xml:space="preserve">οριακή </w:t>
      </w:r>
      <w:r w:rsidRPr="000A47F8">
        <w:rPr>
          <w:rFonts w:cstheme="minorHAnsi"/>
          <w:sz w:val="24"/>
          <w:szCs w:val="24"/>
          <w:lang w:val="el-GR"/>
        </w:rPr>
        <w:t>μείωση της τάξεως της 1 μονάδας.</w:t>
      </w:r>
    </w:p>
    <w:p w14:paraId="2A3245B1" w14:textId="6F718EA0" w:rsidR="00602449"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Ωστόσο, η διαχρονική ανάλυση των δεδομένων για το διάστημα από το 2015 έως το 2023, αναδεικνύει την ένταση των ανισοτήτων εις βάρους του πληθυσμού με αναπηρία και την επιμονή του φαινομένου της φτώχειας στο συγκεκριμένο πληθυσμό. Παρότι την περίοδο αναφοράς καταγράφεται τάση αποκλιμάκωσης της φτώχειας και του κοινωνικού αποκλεισμού στον πληθυσμό χωρίς αναπηρία, αυτή η τάση δεν ακολουθείται στον πληθυσμό των ατόμων με αναπηρία.</w:t>
      </w:r>
    </w:p>
    <w:p w14:paraId="65A873E9" w14:textId="793C0E25" w:rsidR="00602449"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Η εικόνα αυτή αποτυπώνεται και στον δείκτη «Χάσμα φτώχειας και κοινωνικού αποκλεισμού των ατόμων με σοβαρή αναπηρία», ο οποίος ακολουθεί ανοδική πορεία, καταδεικνύοντας</w:t>
      </w:r>
      <w:r w:rsidR="00D032A0" w:rsidRPr="000A47F8">
        <w:rPr>
          <w:rFonts w:cstheme="minorHAnsi"/>
          <w:sz w:val="24"/>
          <w:szCs w:val="24"/>
          <w:lang w:val="el-GR"/>
        </w:rPr>
        <w:t xml:space="preserve"> όχι μόνο επιμονή αλλά και </w:t>
      </w:r>
      <w:r w:rsidRPr="000A47F8">
        <w:rPr>
          <w:rFonts w:cstheme="minorHAnsi"/>
          <w:sz w:val="24"/>
          <w:szCs w:val="24"/>
          <w:lang w:val="el-GR"/>
        </w:rPr>
        <w:t>διεύρυνση των ανισοτήτων που αντιμετωπίζουν τα άτομα με αναπηρία.</w:t>
      </w:r>
    </w:p>
    <w:p w14:paraId="779BA9BD" w14:textId="0FF7A6E4" w:rsidR="007A71EE"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Ο κίνδυνος φτώχειας και κοινωνικού αποκλεισμού είναι ιδιαίτερα αυξημένος στα άτομα με σοβαρή αναπηρία παραγωγικών ηλικιών, με το 48% των πολιτών με σοβαρή αναπηρία ηλικίας 16-64 ετών να αντιμετωπίζουν</w:t>
      </w:r>
      <w:r w:rsidR="00093E9D">
        <w:rPr>
          <w:rFonts w:cstheme="minorHAnsi"/>
          <w:sz w:val="24"/>
          <w:szCs w:val="24"/>
          <w:lang w:val="el-GR"/>
        </w:rPr>
        <w:t xml:space="preserve"> </w:t>
      </w:r>
      <w:r w:rsidRPr="000A47F8">
        <w:rPr>
          <w:rFonts w:cstheme="minorHAnsi"/>
          <w:sz w:val="24"/>
          <w:szCs w:val="24"/>
          <w:lang w:val="el-GR"/>
        </w:rPr>
        <w:t>κίνδυνο φτώχειας ή/και κοινωνικού αποκλεισμού</w:t>
      </w:r>
      <w:r w:rsidR="007A71EE" w:rsidRPr="000A47F8">
        <w:rPr>
          <w:rFonts w:cstheme="minorHAnsi"/>
          <w:sz w:val="24"/>
          <w:szCs w:val="24"/>
          <w:lang w:val="el-GR"/>
        </w:rPr>
        <w:t>, ενώ το χάσμα της φτώχειας και του αποκλεισμού των ατόμων με σοβαρή αναπηρία 16-64 ετών μεταξύ των ετών 2015 και 2023 έχει αυξηθεί κατά 5 ποσοστιαίες μονάδες.</w:t>
      </w:r>
    </w:p>
    <w:p w14:paraId="10A64419" w14:textId="2ACA3FA3" w:rsidR="00602449"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 xml:space="preserve">Ωστόσο, εξίσου ανησυχητική είναι και η εικόνα που προκύπτει για τα άτομα με αναπηρία και ηλικία 65 ετών και άνω, που παρότι μέχρι σήμερα καταγράφουν </w:t>
      </w:r>
      <w:proofErr w:type="spellStart"/>
      <w:r w:rsidRPr="000A47F8">
        <w:rPr>
          <w:rFonts w:cstheme="minorHAnsi"/>
          <w:sz w:val="24"/>
          <w:szCs w:val="24"/>
          <w:lang w:val="el-GR"/>
        </w:rPr>
        <w:t>υποδιπλάσια</w:t>
      </w:r>
      <w:proofErr w:type="spellEnd"/>
      <w:r w:rsidRPr="000A47F8">
        <w:rPr>
          <w:rFonts w:cstheme="minorHAnsi"/>
          <w:sz w:val="24"/>
          <w:szCs w:val="24"/>
          <w:lang w:val="el-GR"/>
        </w:rPr>
        <w:t xml:space="preserve"> επίπεδα φτώχειας ή/και κοινωνικού αποκλεισμού σε σύγκριση με τις παραγωγικές ηλικίες, η διαχρονική τάση τους είναι αυξητική. Κατά τη διετία 2021-2023 ο δείκτης κινδύνου φτώχειας ή/και κοινωνικού αποκλεισμού στα άτομα με σοβαρή αναπηρία και ηλικία από 65 ετών και άνω καταγράφει σημαντική αύξηση 5 μονάδων.</w:t>
      </w:r>
    </w:p>
    <w:p w14:paraId="701D49BD" w14:textId="77777777" w:rsidR="00602449" w:rsidRPr="004528C4" w:rsidRDefault="00602449" w:rsidP="00602449">
      <w:pPr>
        <w:spacing w:before="360"/>
        <w:jc w:val="both"/>
        <w:rPr>
          <w:b/>
          <w:sz w:val="24"/>
          <w:szCs w:val="24"/>
          <w:u w:val="single"/>
          <w:lang w:val="el-GR"/>
        </w:rPr>
      </w:pPr>
      <w:r w:rsidRPr="000A47F8">
        <w:rPr>
          <w:b/>
          <w:sz w:val="24"/>
          <w:szCs w:val="24"/>
          <w:u w:val="single"/>
          <w:lang w:val="el-GR"/>
        </w:rPr>
        <w:lastRenderedPageBreak/>
        <w:t xml:space="preserve">Δείκτης «Ποσοστό πληθυσμού σε </w:t>
      </w:r>
      <w:r w:rsidRPr="004528C4">
        <w:rPr>
          <w:b/>
          <w:sz w:val="24"/>
          <w:szCs w:val="24"/>
          <w:u w:val="single"/>
          <w:lang w:val="el-GR"/>
        </w:rPr>
        <w:t>κίνδυνο φτώχειας» (</w:t>
      </w:r>
      <w:r w:rsidRPr="00E33221">
        <w:rPr>
          <w:b/>
          <w:sz w:val="24"/>
          <w:szCs w:val="24"/>
          <w:u w:val="single"/>
          <w:lang w:val="en-GB"/>
        </w:rPr>
        <w:t>Poverty</w:t>
      </w:r>
      <w:r w:rsidRPr="000655AA">
        <w:rPr>
          <w:b/>
          <w:sz w:val="24"/>
          <w:szCs w:val="24"/>
          <w:u w:val="single"/>
          <w:lang w:val="el-GR"/>
        </w:rPr>
        <w:t xml:space="preserve"> </w:t>
      </w:r>
      <w:r w:rsidRPr="00E33221">
        <w:rPr>
          <w:b/>
          <w:sz w:val="24"/>
          <w:szCs w:val="24"/>
          <w:u w:val="single"/>
          <w:lang w:val="en-GB"/>
        </w:rPr>
        <w:t>Risk</w:t>
      </w:r>
      <w:r w:rsidRPr="004528C4">
        <w:rPr>
          <w:b/>
          <w:sz w:val="24"/>
          <w:szCs w:val="24"/>
          <w:u w:val="single"/>
          <w:lang w:val="el-GR"/>
        </w:rPr>
        <w:t>)</w:t>
      </w:r>
    </w:p>
    <w:p w14:paraId="2EA2CEDF" w14:textId="268C7EFB" w:rsidR="00602449"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4528C4">
        <w:rPr>
          <w:rFonts w:cstheme="minorHAnsi"/>
          <w:sz w:val="24"/>
          <w:szCs w:val="24"/>
          <w:lang w:val="el-GR"/>
        </w:rPr>
        <w:t xml:space="preserve">Το 2023, το ποσοστό των ατόμων με σοβαρή αναπηρία και ηλικία 16 ετών </w:t>
      </w:r>
      <w:r w:rsidRPr="000A47F8">
        <w:rPr>
          <w:rFonts w:cstheme="minorHAnsi"/>
          <w:sz w:val="24"/>
          <w:szCs w:val="24"/>
          <w:lang w:val="el-GR"/>
        </w:rPr>
        <w:t>και άνω που βρίσκεται στο φάσμα της φτώχειας ανήλθε σε 21,5% και στα άτομα χωρίς αναπηρία ο δείκτης υπολογίζεται σε 18%.</w:t>
      </w:r>
    </w:p>
    <w:p w14:paraId="5AF26F62" w14:textId="7ACE3CA9" w:rsidR="00602449" w:rsidRPr="007F7EFE"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Στα άτομα με σοβαρή αναπηρία ηλικίας 65 +</w:t>
      </w:r>
      <w:r w:rsidR="00C97981" w:rsidRPr="000A47F8">
        <w:rPr>
          <w:rFonts w:cstheme="minorHAnsi"/>
          <w:sz w:val="24"/>
          <w:szCs w:val="24"/>
          <w:lang w:val="el-GR"/>
        </w:rPr>
        <w:t>,</w:t>
      </w:r>
      <w:r w:rsidR="00093E9D">
        <w:rPr>
          <w:rFonts w:cstheme="minorHAnsi"/>
          <w:sz w:val="24"/>
          <w:szCs w:val="24"/>
          <w:lang w:val="el-GR"/>
        </w:rPr>
        <w:t xml:space="preserve"> </w:t>
      </w:r>
      <w:r w:rsidRPr="000A47F8">
        <w:rPr>
          <w:rFonts w:cstheme="minorHAnsi"/>
          <w:sz w:val="24"/>
          <w:szCs w:val="24"/>
          <w:lang w:val="el-GR"/>
        </w:rPr>
        <w:t xml:space="preserve">το ποσοστό κινδύνου φτώχειας αυξάνεται κατά 7 ποσοστιαίες μονάδες μεταξύ των ετών 2018 και 2023. Δεδομένης της μικρής μεταβλητότητας του εν λόγω δείκτη ο οποίος εξαρτάται απόλυτα από τη συνολική κατανομή του εισοδήματος, η </w:t>
      </w:r>
      <w:proofErr w:type="spellStart"/>
      <w:r w:rsidRPr="000A47F8">
        <w:rPr>
          <w:rFonts w:cstheme="minorHAnsi"/>
          <w:sz w:val="24"/>
          <w:szCs w:val="24"/>
          <w:lang w:val="el-GR"/>
        </w:rPr>
        <w:t>καταγραφείσα</w:t>
      </w:r>
      <w:proofErr w:type="spellEnd"/>
      <w:r w:rsidRPr="000A47F8">
        <w:rPr>
          <w:rFonts w:cstheme="minorHAnsi"/>
          <w:sz w:val="24"/>
          <w:szCs w:val="24"/>
          <w:lang w:val="el-GR"/>
        </w:rPr>
        <w:t xml:space="preserve"> μεταβολή είναι ιδιαίτερα σοβαρή.</w:t>
      </w:r>
    </w:p>
    <w:p w14:paraId="21A7EC7A" w14:textId="77777777" w:rsidR="00602449" w:rsidRPr="000A47F8" w:rsidRDefault="00602449" w:rsidP="00602449">
      <w:pPr>
        <w:spacing w:before="360"/>
        <w:jc w:val="both"/>
        <w:rPr>
          <w:b/>
          <w:sz w:val="24"/>
          <w:szCs w:val="24"/>
          <w:u w:val="single"/>
          <w:lang w:val="el-GR"/>
        </w:rPr>
      </w:pPr>
      <w:r w:rsidRPr="000A47F8">
        <w:rPr>
          <w:b/>
          <w:sz w:val="24"/>
          <w:szCs w:val="24"/>
          <w:u w:val="single"/>
          <w:lang w:val="el-GR"/>
        </w:rPr>
        <w:t xml:space="preserve">Δείκτης «Ποσοστό πληθυσμού με σοβαρές υλικές και κοινωνικές στερήσεις» </w:t>
      </w:r>
    </w:p>
    <w:p w14:paraId="4227D10C" w14:textId="1846A8EE" w:rsidR="00602449"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Το 2023, το 27,8%</w:t>
      </w:r>
      <w:r w:rsidR="00093E9D">
        <w:rPr>
          <w:rFonts w:cstheme="minorHAnsi"/>
          <w:sz w:val="24"/>
          <w:szCs w:val="24"/>
          <w:lang w:val="el-GR"/>
        </w:rPr>
        <w:t xml:space="preserve"> </w:t>
      </w:r>
      <w:r w:rsidRPr="000A47F8">
        <w:rPr>
          <w:rFonts w:cstheme="minorHAnsi"/>
          <w:sz w:val="24"/>
          <w:szCs w:val="24"/>
          <w:lang w:val="el-GR"/>
        </w:rPr>
        <w:t xml:space="preserve">των ατόμων με σοβαρή αναπηρία 16 έως 64 ετών και το 14,9% των ατόμων με σοβαρή αναπηρία 65 ετών και άνω αντιμετωπίζουν σοβαρές υλικές και κοινωνικές στερήσεις, ενώ στον πληθυσμό χωρίς αναπηρία τα ποσοστά </w:t>
      </w:r>
      <w:r w:rsidRPr="002D6209">
        <w:rPr>
          <w:rFonts w:cstheme="minorHAnsi"/>
          <w:sz w:val="24"/>
          <w:szCs w:val="24"/>
          <w:lang w:val="el-GR"/>
        </w:rPr>
        <w:t>αυτ</w:t>
      </w:r>
      <w:r w:rsidR="004260E4" w:rsidRPr="002D6209">
        <w:rPr>
          <w:rFonts w:cstheme="minorHAnsi"/>
          <w:sz w:val="24"/>
          <w:szCs w:val="24"/>
          <w:lang w:val="el-GR"/>
        </w:rPr>
        <w:t>ά</w:t>
      </w:r>
      <w:r w:rsidRPr="002D6209">
        <w:rPr>
          <w:rFonts w:cstheme="minorHAnsi"/>
          <w:sz w:val="24"/>
          <w:szCs w:val="24"/>
          <w:lang w:val="el-GR"/>
        </w:rPr>
        <w:t xml:space="preserve"> </w:t>
      </w:r>
      <w:r w:rsidRPr="000A47F8">
        <w:rPr>
          <w:rFonts w:cstheme="minorHAnsi"/>
          <w:sz w:val="24"/>
          <w:szCs w:val="24"/>
          <w:lang w:val="el-GR"/>
        </w:rPr>
        <w:t>ανέρχονται σε 12,3% (16-64 ετών) και 10% (65+) αντίστοιχα.</w:t>
      </w:r>
    </w:p>
    <w:p w14:paraId="0C8B9334" w14:textId="160C8EC8" w:rsidR="00602449" w:rsidRPr="007F7EFE" w:rsidRDefault="00602449" w:rsidP="007F7EFE">
      <w:pPr>
        <w:pStyle w:val="af2"/>
        <w:numPr>
          <w:ilvl w:val="0"/>
          <w:numId w:val="19"/>
        </w:numPr>
        <w:spacing w:after="120"/>
        <w:ind w:left="284" w:hanging="284"/>
        <w:contextualSpacing w:val="0"/>
        <w:jc w:val="both"/>
        <w:rPr>
          <w:rFonts w:cstheme="minorHAnsi"/>
          <w:sz w:val="24"/>
          <w:szCs w:val="24"/>
          <w:lang w:val="el-GR"/>
        </w:rPr>
      </w:pPr>
      <w:r w:rsidRPr="000A47F8">
        <w:rPr>
          <w:rFonts w:cstheme="minorHAnsi"/>
          <w:sz w:val="24"/>
          <w:szCs w:val="24"/>
          <w:lang w:val="el-GR"/>
        </w:rPr>
        <w:t xml:space="preserve">Στον πληθυσμό με σοβαρή αναπηρία 16-64 ετών, </w:t>
      </w:r>
      <w:r w:rsidRPr="007F7EFE">
        <w:rPr>
          <w:rFonts w:cstheme="minorHAnsi"/>
          <w:sz w:val="24"/>
          <w:szCs w:val="24"/>
          <w:lang w:val="el-GR"/>
        </w:rPr>
        <w:t>τα 3 τελευταία χρόνια 2020-2023, ο δείκτης παρουσιάζει σταθερά αυξητική πορεία έχοντας αθροιστικά αυξηθεί το διάστημα αυτό κατά 4 ποσοστιαίες μονάδες.</w:t>
      </w:r>
    </w:p>
    <w:p w14:paraId="619ADD33" w14:textId="3B743576" w:rsidR="00602449" w:rsidRPr="007F7EFE" w:rsidRDefault="00602449" w:rsidP="007F7EFE">
      <w:pPr>
        <w:pStyle w:val="af2"/>
        <w:numPr>
          <w:ilvl w:val="0"/>
          <w:numId w:val="19"/>
        </w:numPr>
        <w:spacing w:after="120"/>
        <w:ind w:left="284" w:hanging="284"/>
        <w:contextualSpacing w:val="0"/>
        <w:jc w:val="both"/>
        <w:rPr>
          <w:rFonts w:cstheme="minorHAnsi"/>
          <w:sz w:val="24"/>
          <w:szCs w:val="24"/>
          <w:lang w:val="el-GR"/>
        </w:rPr>
      </w:pPr>
      <w:r w:rsidRPr="007F7EFE">
        <w:rPr>
          <w:rFonts w:cstheme="minorHAnsi"/>
          <w:sz w:val="24"/>
          <w:szCs w:val="24"/>
          <w:lang w:val="el-GR"/>
        </w:rPr>
        <w:t>Από την άλλη, τα άτομα με σοβαρή αναπηρία, 65 ετών και άνω, και σοβαρές υλικές και κοινωνικές στερήσεις, εμφανίζουν αυξητική τάση σχεδόν σε όλη την περίοδο αναφοράς 2015-2023, όπως και</w:t>
      </w:r>
      <w:r w:rsidR="00093E9D" w:rsidRPr="007F7EFE">
        <w:rPr>
          <w:rFonts w:cstheme="minorHAnsi"/>
          <w:sz w:val="24"/>
          <w:szCs w:val="24"/>
          <w:lang w:val="el-GR"/>
        </w:rPr>
        <w:t xml:space="preserve"> </w:t>
      </w:r>
      <w:r w:rsidRPr="007F7EFE">
        <w:rPr>
          <w:rFonts w:cstheme="minorHAnsi"/>
          <w:sz w:val="24"/>
          <w:szCs w:val="24"/>
          <w:lang w:val="el-GR"/>
        </w:rPr>
        <w:t>τα άτομα χωρίς αναπηρία της ίδιας ηλικιακής ομάδας. Καταγράφεται δηλαδή τα τελευταία χρόνια μια σταθερή και σημαντική επιδείνωση του βιοτικού επιπέδου και των συνταξιούχων και ηλικιωμένων πολιτών με αναπηρία αλλά και χωρίς αναπηρία.</w:t>
      </w:r>
    </w:p>
    <w:p w14:paraId="0D24C6EC" w14:textId="03BC6030" w:rsidR="00602449" w:rsidRPr="000A47F8" w:rsidRDefault="00602449" w:rsidP="007F7EFE">
      <w:pPr>
        <w:pStyle w:val="af2"/>
        <w:numPr>
          <w:ilvl w:val="0"/>
          <w:numId w:val="19"/>
        </w:numPr>
        <w:spacing w:after="120"/>
        <w:ind w:left="284" w:hanging="284"/>
        <w:contextualSpacing w:val="0"/>
        <w:jc w:val="both"/>
        <w:rPr>
          <w:rFonts w:cstheme="minorHAnsi"/>
          <w:sz w:val="24"/>
          <w:szCs w:val="24"/>
          <w:lang w:val="el-GR"/>
        </w:rPr>
      </w:pPr>
      <w:r w:rsidRPr="007F7EFE">
        <w:rPr>
          <w:rFonts w:cstheme="minorHAnsi"/>
          <w:sz w:val="24"/>
          <w:szCs w:val="24"/>
          <w:lang w:val="el-GR"/>
        </w:rPr>
        <w:t>Το 31,3% των ατόμων με σοβαρή αναπηρία και το 18,2% των ατόμων χωρίς αναπηρία αδυνατούν να έχουν ικανοποιητική θέρμανση τον χειμώνα. Παρότι</w:t>
      </w:r>
      <w:r w:rsidR="00093E9D" w:rsidRPr="007F7EFE">
        <w:rPr>
          <w:rFonts w:cstheme="minorHAnsi"/>
          <w:sz w:val="24"/>
          <w:szCs w:val="24"/>
          <w:lang w:val="el-GR"/>
        </w:rPr>
        <w:t xml:space="preserve"> </w:t>
      </w:r>
      <w:r w:rsidRPr="007F7EFE">
        <w:rPr>
          <w:rFonts w:cstheme="minorHAnsi"/>
          <w:sz w:val="24"/>
          <w:szCs w:val="24"/>
          <w:lang w:val="el-GR"/>
        </w:rPr>
        <w:t>από το 2017 μέχρι το 2020 ο δείκτης ποσοστό ατόμων με οικονομική αδυναμία για ικανοποιητική θέρμανση, είχε καταγράψει σημαντική μείωση, διαπιστώνουμε πως ο δείκτης εμφανίζει και πάλι ανοδική πορεία το διάστημα 2020-2023.</w:t>
      </w:r>
    </w:p>
    <w:p w14:paraId="56EFF398" w14:textId="77777777" w:rsidR="00602449" w:rsidRPr="000A47F8" w:rsidRDefault="00602449" w:rsidP="00602449">
      <w:pPr>
        <w:spacing w:before="360"/>
        <w:jc w:val="both"/>
        <w:rPr>
          <w:b/>
          <w:sz w:val="24"/>
          <w:szCs w:val="24"/>
          <w:u w:val="single"/>
          <w:lang w:val="el-GR"/>
        </w:rPr>
      </w:pPr>
      <w:r w:rsidRPr="000A47F8">
        <w:rPr>
          <w:b/>
          <w:sz w:val="24"/>
          <w:szCs w:val="24"/>
          <w:u w:val="single"/>
          <w:lang w:val="el-GR"/>
        </w:rPr>
        <w:t>Πληθυσμός που διαβιεί σε νοικοκυριά με χαμηλή ένταση εργασίας (Europe 2030)</w:t>
      </w:r>
    </w:p>
    <w:p w14:paraId="4E610055" w14:textId="25997769" w:rsidR="00602449" w:rsidRPr="000A47F8" w:rsidRDefault="00602449" w:rsidP="007F7EFE">
      <w:pPr>
        <w:pStyle w:val="af2"/>
        <w:numPr>
          <w:ilvl w:val="0"/>
          <w:numId w:val="19"/>
        </w:numPr>
        <w:spacing w:after="120"/>
        <w:ind w:left="284" w:hanging="284"/>
        <w:contextualSpacing w:val="0"/>
        <w:jc w:val="both"/>
        <w:rPr>
          <w:sz w:val="24"/>
          <w:szCs w:val="24"/>
          <w:lang w:val="el-GR"/>
        </w:rPr>
      </w:pPr>
      <w:r w:rsidRPr="000A47F8">
        <w:rPr>
          <w:sz w:val="24"/>
          <w:szCs w:val="24"/>
          <w:lang w:val="el-GR"/>
        </w:rPr>
        <w:t>Το 2023 το ποσοστού πληθυσμού (16-64 ετών) με σοβαρή αναπηρία που διαβιεί σε νοικοκυριά με χαμηλή ένταση εργασίας (Europe 2030) υπολογίστηκε σε 27,1%, ποσοστό δηλαδή σχεδόν τετραπλάσιο από το αντίστοιχο στον πληθυσμό χωρίς αναπηρία</w:t>
      </w:r>
      <w:r w:rsidR="00C773F3" w:rsidRPr="000A47F8">
        <w:rPr>
          <w:sz w:val="24"/>
          <w:szCs w:val="24"/>
          <w:lang w:val="el-GR"/>
        </w:rPr>
        <w:t xml:space="preserve"> το οποίο βρέθηκε να είναι 7,4%.</w:t>
      </w:r>
    </w:p>
    <w:p w14:paraId="212851BE" w14:textId="310E801C" w:rsidR="007D51AE" w:rsidRPr="00CC2A02" w:rsidRDefault="00B44236" w:rsidP="00BE347B">
      <w:pPr>
        <w:pStyle w:val="10"/>
        <w:numPr>
          <w:ilvl w:val="0"/>
          <w:numId w:val="0"/>
        </w:numPr>
        <w:spacing w:before="600" w:after="240"/>
        <w:jc w:val="center"/>
        <w:rPr>
          <w:b/>
          <w:bCs/>
          <w:color w:val="000000" w:themeColor="text1"/>
          <w:u w:val="single"/>
          <w:lang w:val="el-GR"/>
        </w:rPr>
      </w:pPr>
      <w:r w:rsidRPr="00B47084">
        <w:rPr>
          <w:b/>
          <w:bCs/>
          <w:color w:val="000000" w:themeColor="text1"/>
          <w:u w:val="single"/>
          <w:lang w:val="el-GR"/>
        </w:rPr>
        <w:br w:type="page"/>
      </w:r>
      <w:bookmarkStart w:id="3" w:name="_Toc185524531"/>
      <w:bookmarkEnd w:id="2"/>
      <w:r w:rsidRPr="00CC2A02">
        <w:rPr>
          <w:b/>
          <w:bCs/>
          <w:color w:val="000000" w:themeColor="text1"/>
          <w:u w:val="single"/>
          <w:lang w:val="el-GR"/>
        </w:rPr>
        <w:lastRenderedPageBreak/>
        <w:t>ΒΑΣΙΚΑ ΣΥΜΠΕΡΑΣΜΑΤΑ</w:t>
      </w:r>
      <w:bookmarkEnd w:id="3"/>
    </w:p>
    <w:tbl>
      <w:tblPr>
        <w:tblStyle w:val="ae"/>
        <w:tblW w:w="0" w:type="auto"/>
        <w:shd w:val="clear" w:color="auto" w:fill="EBF1DE"/>
        <w:tblLook w:val="04A0" w:firstRow="1" w:lastRow="0" w:firstColumn="1" w:lastColumn="0" w:noHBand="0" w:noVBand="1"/>
      </w:tblPr>
      <w:tblGrid>
        <w:gridCol w:w="8777"/>
      </w:tblGrid>
      <w:tr w:rsidR="00B44236" w:rsidRPr="000655AA" w14:paraId="7CFABFE1" w14:textId="77777777" w:rsidTr="00E855BC">
        <w:tc>
          <w:tcPr>
            <w:tcW w:w="8777" w:type="dxa"/>
            <w:shd w:val="clear" w:color="auto" w:fill="EBF1DE"/>
          </w:tcPr>
          <w:p w14:paraId="6106D36A" w14:textId="1CF30031" w:rsidR="00F8582D" w:rsidRPr="004528C4" w:rsidRDefault="00C97981" w:rsidP="007F7EFE">
            <w:pPr>
              <w:shd w:val="clear" w:color="auto" w:fill="EBF1DE"/>
              <w:jc w:val="both"/>
              <w:rPr>
                <w:rFonts w:eastAsia="Times New Roman" w:cstheme="minorHAnsi"/>
                <w:sz w:val="24"/>
                <w:szCs w:val="24"/>
                <w:lang w:val="el-GR" w:eastAsia="el-GR"/>
              </w:rPr>
            </w:pPr>
            <w:bookmarkStart w:id="4" w:name="_Hlk185526246"/>
            <w:r w:rsidRPr="004528C4">
              <w:rPr>
                <w:rFonts w:eastAsia="Times New Roman" w:cstheme="minorHAnsi"/>
                <w:sz w:val="24"/>
                <w:szCs w:val="24"/>
                <w:lang w:val="el-GR" w:eastAsia="el-GR"/>
              </w:rPr>
              <w:t xml:space="preserve">Η διεύρυνση των ανισοτήτων </w:t>
            </w:r>
            <w:r w:rsidR="005403BF" w:rsidRPr="004528C4">
              <w:rPr>
                <w:rFonts w:eastAsia="Times New Roman" w:cstheme="minorHAnsi"/>
                <w:sz w:val="24"/>
                <w:szCs w:val="24"/>
                <w:lang w:val="el-GR" w:eastAsia="el-GR"/>
              </w:rPr>
              <w:t>σε</w:t>
            </w:r>
            <w:r w:rsidRPr="004528C4">
              <w:rPr>
                <w:rFonts w:eastAsia="Times New Roman" w:cstheme="minorHAnsi"/>
                <w:sz w:val="24"/>
                <w:szCs w:val="24"/>
                <w:lang w:val="el-GR" w:eastAsia="el-GR"/>
              </w:rPr>
              <w:t xml:space="preserve"> βάρος του πληθυσμού με αναπηρία και η επιμονή του φαινομένου της φτώχειας και του κοινωνικού αποκλεισμού, παρά τη σταδιακή βελτίωση σειράς κοινωνικοοικονομικών δεικτών τα έτη μετά το 2016, επιβεβαιώνει τον πολυδιάστατο και δομικό χαρακτήρα του φαινομένου της φτώχειας στα άτομα με αναπηρία</w:t>
            </w:r>
            <w:r w:rsidR="00C36AF5" w:rsidRPr="004528C4">
              <w:rPr>
                <w:rFonts w:eastAsia="Times New Roman" w:cstheme="minorHAnsi"/>
                <w:sz w:val="24"/>
                <w:szCs w:val="24"/>
                <w:lang w:val="el-GR" w:eastAsia="el-GR"/>
              </w:rPr>
              <w:t xml:space="preserve">, με τους μισούς πολίτες με σοβαρή αναπηρία </w:t>
            </w:r>
            <w:r w:rsidR="00AB2B16" w:rsidRPr="004528C4">
              <w:rPr>
                <w:rFonts w:eastAsia="Times New Roman" w:cstheme="minorHAnsi"/>
                <w:sz w:val="24"/>
                <w:szCs w:val="24"/>
                <w:lang w:val="el-GR" w:eastAsia="el-GR"/>
              </w:rPr>
              <w:t>στις παραγωγικές ηλικίες</w:t>
            </w:r>
            <w:r w:rsidR="00C36AF5" w:rsidRPr="004528C4">
              <w:rPr>
                <w:rFonts w:eastAsia="Times New Roman" w:cstheme="minorHAnsi"/>
                <w:sz w:val="24"/>
                <w:szCs w:val="24"/>
                <w:lang w:val="el-GR" w:eastAsia="el-GR"/>
              </w:rPr>
              <w:t xml:space="preserve"> να βρίσκονται στο φάσμα της φτώχειας και του κοινωνικού αποκλεισμού. </w:t>
            </w:r>
            <w:r w:rsidR="00AB2B16" w:rsidRPr="004528C4">
              <w:rPr>
                <w:rFonts w:eastAsia="Times New Roman" w:cstheme="minorHAnsi"/>
                <w:sz w:val="24"/>
                <w:szCs w:val="24"/>
                <w:lang w:val="el-GR" w:eastAsia="el-GR"/>
              </w:rPr>
              <w:t>Ε</w:t>
            </w:r>
            <w:r w:rsidRPr="004528C4">
              <w:rPr>
                <w:rFonts w:eastAsia="Times New Roman" w:cstheme="minorHAnsi"/>
                <w:sz w:val="24"/>
                <w:szCs w:val="24"/>
                <w:lang w:val="el-GR" w:eastAsia="el-GR"/>
              </w:rPr>
              <w:t xml:space="preserve">ξίσου </w:t>
            </w:r>
            <w:r w:rsidR="00AB2B16" w:rsidRPr="004528C4">
              <w:rPr>
                <w:rFonts w:eastAsia="Times New Roman" w:cstheme="minorHAnsi"/>
                <w:sz w:val="24"/>
                <w:szCs w:val="24"/>
                <w:lang w:val="el-GR" w:eastAsia="el-GR"/>
              </w:rPr>
              <w:t>ζοφερή</w:t>
            </w:r>
            <w:r w:rsidRPr="004528C4">
              <w:rPr>
                <w:rFonts w:eastAsia="Times New Roman" w:cstheme="minorHAnsi"/>
                <w:sz w:val="24"/>
                <w:szCs w:val="24"/>
                <w:lang w:val="el-GR" w:eastAsia="el-GR"/>
              </w:rPr>
              <w:t xml:space="preserve"> εικόνα</w:t>
            </w:r>
            <w:r w:rsidR="00093E9D">
              <w:rPr>
                <w:rFonts w:eastAsia="Times New Roman" w:cstheme="minorHAnsi"/>
                <w:sz w:val="24"/>
                <w:szCs w:val="24"/>
                <w:lang w:val="el-GR" w:eastAsia="el-GR"/>
              </w:rPr>
              <w:t xml:space="preserve"> </w:t>
            </w:r>
            <w:r w:rsidRPr="004528C4">
              <w:rPr>
                <w:rFonts w:eastAsia="Times New Roman" w:cstheme="minorHAnsi"/>
                <w:sz w:val="24"/>
                <w:szCs w:val="24"/>
                <w:lang w:val="el-GR" w:eastAsia="el-GR"/>
              </w:rPr>
              <w:t xml:space="preserve">προκύπτει </w:t>
            </w:r>
            <w:r w:rsidR="00AB2B16" w:rsidRPr="004528C4">
              <w:rPr>
                <w:rFonts w:eastAsia="Times New Roman" w:cstheme="minorHAnsi"/>
                <w:sz w:val="24"/>
                <w:szCs w:val="24"/>
                <w:lang w:val="el-GR" w:eastAsia="el-GR"/>
              </w:rPr>
              <w:t xml:space="preserve">και </w:t>
            </w:r>
            <w:r w:rsidRPr="004528C4">
              <w:rPr>
                <w:rFonts w:eastAsia="Times New Roman" w:cstheme="minorHAnsi"/>
                <w:sz w:val="24"/>
                <w:szCs w:val="24"/>
                <w:lang w:val="el-GR" w:eastAsia="el-GR"/>
              </w:rPr>
              <w:t>για τα άτομα με αναπηρία 65 ετών και άνω, που παρά το</w:t>
            </w:r>
            <w:r w:rsidR="00C36AF5" w:rsidRPr="004528C4">
              <w:rPr>
                <w:rFonts w:eastAsia="Times New Roman" w:cstheme="minorHAnsi"/>
                <w:sz w:val="24"/>
                <w:szCs w:val="24"/>
                <w:lang w:val="el-GR" w:eastAsia="el-GR"/>
              </w:rPr>
              <w:t xml:space="preserve"> γεγονός</w:t>
            </w:r>
            <w:r w:rsidRPr="004528C4">
              <w:rPr>
                <w:rFonts w:eastAsia="Times New Roman" w:cstheme="minorHAnsi"/>
                <w:sz w:val="24"/>
                <w:szCs w:val="24"/>
                <w:lang w:val="el-GR" w:eastAsia="el-GR"/>
              </w:rPr>
              <w:t xml:space="preserve"> ότι - τα πρώτα χρόνια της κρίσης -οι συνταξιούχοι έδειξαν μεγαλύτερη αντοχή στη φτωχοποίηση, οι συνεχείς περικοπές στις συντάξεις και η κάθετη </w:t>
            </w:r>
            <w:r w:rsidR="00F8582D" w:rsidRPr="004528C4">
              <w:rPr>
                <w:rFonts w:eastAsia="Times New Roman" w:cstheme="minorHAnsi"/>
                <w:sz w:val="24"/>
                <w:szCs w:val="24"/>
                <w:lang w:val="el-GR" w:eastAsia="el-GR"/>
              </w:rPr>
              <w:t>αύξηση του κόστους διαβίωσης</w:t>
            </w:r>
            <w:r w:rsidRPr="004528C4">
              <w:rPr>
                <w:rFonts w:eastAsia="Times New Roman" w:cstheme="minorHAnsi"/>
                <w:sz w:val="24"/>
                <w:szCs w:val="24"/>
                <w:lang w:val="el-GR" w:eastAsia="el-GR"/>
              </w:rPr>
              <w:t xml:space="preserve">, έθεσαν πλέον και τους ηλικιωμένους και συνταξιούχους με αναπηρία </w:t>
            </w:r>
            <w:r w:rsidR="00F8582D" w:rsidRPr="004528C4">
              <w:rPr>
                <w:rFonts w:eastAsia="Times New Roman" w:cstheme="minorHAnsi"/>
                <w:sz w:val="24"/>
                <w:szCs w:val="24"/>
                <w:lang w:val="el-GR" w:eastAsia="el-GR"/>
              </w:rPr>
              <w:t>σε</w:t>
            </w:r>
            <w:r w:rsidRPr="004528C4">
              <w:rPr>
                <w:rFonts w:eastAsia="Times New Roman" w:cstheme="minorHAnsi"/>
                <w:sz w:val="24"/>
                <w:szCs w:val="24"/>
                <w:lang w:val="el-GR" w:eastAsia="el-GR"/>
              </w:rPr>
              <w:t xml:space="preserve"> σοβαρό κίνδυνο εξαθλίωσης, με τους δείκτες φτώχειας να καταγράφουν σταθερή ανοδική πορεία σε αυτές τις ηλικιακές ομάδες</w:t>
            </w:r>
            <w:r w:rsidR="00F8582D" w:rsidRPr="004528C4">
              <w:rPr>
                <w:rFonts w:eastAsia="Times New Roman" w:cstheme="minorHAnsi"/>
                <w:sz w:val="24"/>
                <w:szCs w:val="24"/>
                <w:lang w:val="el-GR" w:eastAsia="el-GR"/>
              </w:rPr>
              <w:t xml:space="preserve">. </w:t>
            </w:r>
            <w:r w:rsidRPr="004528C4">
              <w:rPr>
                <w:rFonts w:eastAsia="Times New Roman" w:cstheme="minorHAnsi"/>
                <w:sz w:val="24"/>
                <w:szCs w:val="24"/>
                <w:lang w:val="el-GR" w:eastAsia="el-GR"/>
              </w:rPr>
              <w:t xml:space="preserve">Συνεπώς, απαιτείται </w:t>
            </w:r>
            <w:r w:rsidR="00AB2B16" w:rsidRPr="004528C4">
              <w:rPr>
                <w:rFonts w:eastAsia="Times New Roman" w:cstheme="minorHAnsi"/>
                <w:sz w:val="24"/>
                <w:szCs w:val="24"/>
                <w:lang w:val="el-GR" w:eastAsia="el-GR"/>
              </w:rPr>
              <w:t>γενναία κοινωνική πολιτική</w:t>
            </w:r>
            <w:r w:rsidRPr="004528C4">
              <w:rPr>
                <w:rFonts w:eastAsia="Times New Roman" w:cstheme="minorHAnsi"/>
                <w:sz w:val="24"/>
                <w:szCs w:val="24"/>
                <w:lang w:val="el-GR" w:eastAsia="el-GR"/>
              </w:rPr>
              <w:t xml:space="preserve"> </w:t>
            </w:r>
            <w:r w:rsidR="00AB2B16" w:rsidRPr="004528C4">
              <w:rPr>
                <w:rFonts w:eastAsia="Times New Roman" w:cstheme="minorHAnsi"/>
                <w:sz w:val="24"/>
                <w:szCs w:val="24"/>
                <w:lang w:val="el-GR" w:eastAsia="el-GR"/>
              </w:rPr>
              <w:t xml:space="preserve">για την </w:t>
            </w:r>
            <w:r w:rsidRPr="004528C4">
              <w:rPr>
                <w:rFonts w:eastAsia="Times New Roman" w:cstheme="minorHAnsi"/>
                <w:sz w:val="24"/>
                <w:szCs w:val="24"/>
                <w:lang w:val="el-GR" w:eastAsia="el-GR"/>
              </w:rPr>
              <w:t xml:space="preserve">υποστήριξη της </w:t>
            </w:r>
            <w:r w:rsidR="0025661F" w:rsidRPr="004528C4">
              <w:rPr>
                <w:rFonts w:eastAsia="Times New Roman" w:cstheme="minorHAnsi"/>
                <w:sz w:val="24"/>
                <w:szCs w:val="24"/>
                <w:lang w:val="el-GR" w:eastAsia="el-GR"/>
              </w:rPr>
              <w:t xml:space="preserve">κοινωνικής </w:t>
            </w:r>
            <w:r w:rsidRPr="004528C4">
              <w:rPr>
                <w:rFonts w:eastAsia="Times New Roman" w:cstheme="minorHAnsi"/>
                <w:sz w:val="24"/>
                <w:szCs w:val="24"/>
                <w:lang w:val="el-GR" w:eastAsia="el-GR"/>
              </w:rPr>
              <w:t>ένταξης των ατόμων με αναπηρία</w:t>
            </w:r>
            <w:r w:rsidR="0025661F" w:rsidRPr="004528C4">
              <w:rPr>
                <w:rFonts w:eastAsia="Times New Roman" w:cstheme="minorHAnsi"/>
                <w:sz w:val="24"/>
                <w:szCs w:val="24"/>
                <w:lang w:val="el-GR" w:eastAsia="el-GR"/>
              </w:rPr>
              <w:t xml:space="preserve"> και την προστασία τους από τη φτώχεια</w:t>
            </w:r>
            <w:r w:rsidRPr="004528C4">
              <w:rPr>
                <w:rFonts w:eastAsia="Times New Roman" w:cstheme="minorHAnsi"/>
                <w:sz w:val="24"/>
                <w:szCs w:val="24"/>
                <w:lang w:val="el-GR" w:eastAsia="el-GR"/>
              </w:rPr>
              <w:t xml:space="preserve">, </w:t>
            </w:r>
            <w:r w:rsidR="00AB2B16" w:rsidRPr="004528C4">
              <w:rPr>
                <w:rFonts w:eastAsia="Times New Roman" w:cstheme="minorHAnsi"/>
                <w:sz w:val="24"/>
                <w:szCs w:val="24"/>
                <w:lang w:val="el-GR" w:eastAsia="el-GR"/>
              </w:rPr>
              <w:t xml:space="preserve">με μακροπρόθεσμο στόχο </w:t>
            </w:r>
            <w:r w:rsidR="00F8582D" w:rsidRPr="004528C4">
              <w:rPr>
                <w:rFonts w:eastAsia="Times New Roman" w:cstheme="minorHAnsi"/>
                <w:sz w:val="24"/>
                <w:szCs w:val="24"/>
                <w:lang w:val="el-GR" w:eastAsia="el-GR"/>
              </w:rPr>
              <w:t>την άρση των ποικίλων εμποδίων και αποκλεισμών που αποκλείουν τα άτομα με αναπηρία από τη δυνατότητα να απολαμβάνουν ένα αξιοπρεπές βιοτικό επίπεδο.</w:t>
            </w:r>
          </w:p>
          <w:p w14:paraId="1026191C" w14:textId="315B1EE9" w:rsidR="00671D3F" w:rsidRPr="004528C4" w:rsidRDefault="00671D3F" w:rsidP="007F7EFE">
            <w:pPr>
              <w:shd w:val="clear" w:color="auto" w:fill="EBF1DE"/>
              <w:jc w:val="both"/>
              <w:rPr>
                <w:rFonts w:eastAsia="Times New Roman" w:cstheme="minorHAnsi"/>
                <w:sz w:val="24"/>
                <w:szCs w:val="24"/>
                <w:lang w:val="el-GR" w:eastAsia="el-GR"/>
              </w:rPr>
            </w:pPr>
            <w:r w:rsidRPr="004528C4">
              <w:rPr>
                <w:rFonts w:eastAsia="Times New Roman" w:cstheme="minorHAnsi"/>
                <w:sz w:val="24"/>
                <w:szCs w:val="24"/>
                <w:lang w:val="el-GR" w:eastAsia="el-GR"/>
              </w:rPr>
              <w:t>Η α</w:t>
            </w:r>
            <w:r w:rsidR="00C36AF5" w:rsidRPr="004528C4">
              <w:rPr>
                <w:rFonts w:eastAsia="Times New Roman" w:cstheme="minorHAnsi"/>
                <w:sz w:val="24"/>
                <w:szCs w:val="24"/>
                <w:lang w:val="el-GR" w:eastAsia="el-GR"/>
              </w:rPr>
              <w:t>ύξηση της συμμετοχής των ατόμων με αναπηρία, με χρόνιες ή/και σπάνιες παθήσεις στο εργατικό δυναμικό της χώρας</w:t>
            </w:r>
            <w:r w:rsidR="00093E9D">
              <w:rPr>
                <w:rFonts w:eastAsia="Times New Roman" w:cstheme="minorHAnsi"/>
                <w:sz w:val="24"/>
                <w:szCs w:val="24"/>
                <w:lang w:val="el-GR" w:eastAsia="el-GR"/>
              </w:rPr>
              <w:t xml:space="preserve"> </w:t>
            </w:r>
            <w:r w:rsidRPr="004528C4">
              <w:rPr>
                <w:rFonts w:eastAsia="Times New Roman" w:cstheme="minorHAnsi"/>
                <w:sz w:val="24"/>
                <w:szCs w:val="24"/>
                <w:lang w:val="el-GR" w:eastAsia="el-GR"/>
              </w:rPr>
              <w:t>πρέπει να αποτελέσει βασική προτεραιότητα</w:t>
            </w:r>
            <w:r w:rsidR="00DA0BBC" w:rsidRPr="004528C4">
              <w:rPr>
                <w:rFonts w:eastAsia="Times New Roman" w:cstheme="minorHAnsi"/>
                <w:sz w:val="24"/>
                <w:szCs w:val="24"/>
                <w:lang w:val="el-GR" w:eastAsia="el-GR"/>
              </w:rPr>
              <w:t xml:space="preserve"> το επόμενο διάστημα</w:t>
            </w:r>
            <w:r w:rsidRPr="004528C4">
              <w:rPr>
                <w:rFonts w:eastAsia="Times New Roman" w:cstheme="minorHAnsi"/>
                <w:sz w:val="24"/>
                <w:szCs w:val="24"/>
                <w:lang w:val="el-GR" w:eastAsia="el-GR"/>
              </w:rPr>
              <w:t xml:space="preserve">, με την κατάργηση της άδικης διακοπής των επιδομάτων αναπηρίας όταν τα άτομα με αναπηρία, με χρόνιες ή/και σπάνιες παθήσεις εργάζονται, την </w:t>
            </w:r>
            <w:r w:rsidR="00DA0BBC" w:rsidRPr="004528C4">
              <w:rPr>
                <w:rFonts w:eastAsia="Times New Roman" w:cstheme="minorHAnsi"/>
                <w:sz w:val="24"/>
                <w:szCs w:val="24"/>
                <w:lang w:val="el-GR" w:eastAsia="el-GR"/>
              </w:rPr>
              <w:t xml:space="preserve">ανάπτυξη προγραμμάτων για την </w:t>
            </w:r>
            <w:r w:rsidRPr="004528C4">
              <w:rPr>
                <w:rFonts w:eastAsia="Times New Roman" w:cstheme="minorHAnsi"/>
                <w:sz w:val="24"/>
                <w:szCs w:val="24"/>
                <w:lang w:val="el-GR" w:eastAsia="el-GR"/>
              </w:rPr>
              <w:t>προώθησ</w:t>
            </w:r>
            <w:r w:rsidR="007542FB" w:rsidRPr="004528C4">
              <w:rPr>
                <w:rFonts w:eastAsia="Times New Roman" w:cstheme="minorHAnsi"/>
                <w:sz w:val="24"/>
                <w:szCs w:val="24"/>
                <w:lang w:val="el-GR" w:eastAsia="el-GR"/>
              </w:rPr>
              <w:t>ή</w:t>
            </w:r>
            <w:r w:rsidRPr="004528C4">
              <w:rPr>
                <w:rFonts w:eastAsia="Times New Roman" w:cstheme="minorHAnsi"/>
                <w:sz w:val="24"/>
                <w:szCs w:val="24"/>
                <w:lang w:val="el-GR" w:eastAsia="el-GR"/>
              </w:rPr>
              <w:t xml:space="preserve"> τους στην απασχόληση, και την ενίσχυση των προγραμμάτων επαγγελματικής κατάρτισης.</w:t>
            </w:r>
          </w:p>
          <w:p w14:paraId="7206D316" w14:textId="0FBD9296" w:rsidR="00C36AF5" w:rsidRPr="004528C4" w:rsidRDefault="0025661F" w:rsidP="007F7EFE">
            <w:pPr>
              <w:shd w:val="clear" w:color="auto" w:fill="EBF1DE"/>
              <w:jc w:val="both"/>
              <w:rPr>
                <w:rFonts w:eastAsia="Times New Roman" w:cstheme="minorHAnsi"/>
                <w:sz w:val="24"/>
                <w:szCs w:val="24"/>
                <w:lang w:val="el-GR" w:eastAsia="el-GR"/>
              </w:rPr>
            </w:pPr>
            <w:r w:rsidRPr="004528C4">
              <w:rPr>
                <w:rFonts w:eastAsia="Times New Roman" w:cstheme="minorHAnsi"/>
                <w:sz w:val="24"/>
                <w:szCs w:val="24"/>
                <w:lang w:val="el-GR" w:eastAsia="el-GR"/>
              </w:rPr>
              <w:t>Ωστόσο</w:t>
            </w:r>
            <w:r w:rsidR="00DA0BBC" w:rsidRPr="004528C4">
              <w:rPr>
                <w:rFonts w:eastAsia="Times New Roman" w:cstheme="minorHAnsi"/>
                <w:sz w:val="24"/>
                <w:szCs w:val="24"/>
                <w:lang w:val="el-GR" w:eastAsia="el-GR"/>
              </w:rPr>
              <w:t>, είναι απολύτως αναγκαία η λήψη μέτρων για την άμεση ενίσχυση του εισοδήματος των ατόμων με αναπηρία</w:t>
            </w:r>
            <w:r w:rsidR="00A17B57" w:rsidRPr="004528C4">
              <w:rPr>
                <w:rFonts w:eastAsia="Times New Roman" w:cstheme="minorHAnsi"/>
                <w:sz w:val="24"/>
                <w:szCs w:val="24"/>
                <w:lang w:val="el-GR" w:eastAsia="el-GR"/>
              </w:rPr>
              <w:t xml:space="preserve"> με </w:t>
            </w:r>
            <w:r w:rsidR="00AB2B16" w:rsidRPr="004528C4">
              <w:rPr>
                <w:rFonts w:eastAsia="Times New Roman" w:cstheme="minorHAnsi"/>
                <w:sz w:val="24"/>
                <w:szCs w:val="24"/>
                <w:lang w:val="el-GR" w:eastAsia="el-GR"/>
              </w:rPr>
              <w:t xml:space="preserve">χρόνιες </w:t>
            </w:r>
            <w:r w:rsidR="00A17B57" w:rsidRPr="004528C4">
              <w:rPr>
                <w:rFonts w:eastAsia="Times New Roman" w:cstheme="minorHAnsi"/>
                <w:sz w:val="24"/>
                <w:szCs w:val="24"/>
                <w:lang w:val="el-GR" w:eastAsia="el-GR"/>
              </w:rPr>
              <w:t xml:space="preserve">ή/και </w:t>
            </w:r>
            <w:r w:rsidR="00101EAF" w:rsidRPr="004528C4">
              <w:rPr>
                <w:rFonts w:eastAsia="Times New Roman" w:cstheme="minorHAnsi"/>
                <w:sz w:val="24"/>
                <w:szCs w:val="24"/>
                <w:lang w:val="el-GR" w:eastAsia="el-GR"/>
              </w:rPr>
              <w:t xml:space="preserve">σπάνιες </w:t>
            </w:r>
            <w:r w:rsidR="00AB2B16" w:rsidRPr="004528C4">
              <w:rPr>
                <w:rFonts w:eastAsia="Times New Roman" w:cstheme="minorHAnsi"/>
                <w:sz w:val="24"/>
                <w:szCs w:val="24"/>
                <w:lang w:val="el-GR" w:eastAsia="el-GR"/>
              </w:rPr>
              <w:t>παθήσεις</w:t>
            </w:r>
            <w:r w:rsidR="00DA0BBC" w:rsidRPr="004528C4">
              <w:rPr>
                <w:rFonts w:eastAsia="Times New Roman" w:cstheme="minorHAnsi"/>
                <w:sz w:val="24"/>
                <w:szCs w:val="24"/>
                <w:lang w:val="el-GR" w:eastAsia="el-GR"/>
              </w:rPr>
              <w:t xml:space="preserve"> ώστε να προστατευτούν από την εξαθλίωση. </w:t>
            </w:r>
            <w:r w:rsidR="00671D3F" w:rsidRPr="004528C4">
              <w:rPr>
                <w:rFonts w:eastAsia="Times New Roman" w:cstheme="minorHAnsi"/>
                <w:sz w:val="24"/>
                <w:szCs w:val="24"/>
                <w:lang w:val="el-GR" w:eastAsia="el-GR"/>
              </w:rPr>
              <w:t xml:space="preserve">Η </w:t>
            </w:r>
            <w:r w:rsidR="00AB2B16" w:rsidRPr="004528C4">
              <w:rPr>
                <w:rFonts w:eastAsia="Times New Roman" w:cstheme="minorHAnsi"/>
                <w:sz w:val="24"/>
                <w:szCs w:val="24"/>
                <w:lang w:val="el-GR" w:eastAsia="el-GR"/>
              </w:rPr>
              <w:t>α</w:t>
            </w:r>
            <w:r w:rsidR="00671D3F" w:rsidRPr="004528C4">
              <w:rPr>
                <w:rFonts w:eastAsia="Times New Roman" w:cstheme="minorHAnsi"/>
                <w:sz w:val="24"/>
                <w:szCs w:val="24"/>
                <w:lang w:val="el-GR" w:eastAsia="el-GR"/>
              </w:rPr>
              <w:t xml:space="preserve">ύξηση των </w:t>
            </w:r>
            <w:r w:rsidR="00AB2B16" w:rsidRPr="004528C4">
              <w:rPr>
                <w:rFonts w:eastAsia="Times New Roman" w:cstheme="minorHAnsi"/>
                <w:sz w:val="24"/>
                <w:szCs w:val="24"/>
                <w:lang w:val="el-GR" w:eastAsia="el-GR"/>
              </w:rPr>
              <w:t xml:space="preserve">αναπηρικών </w:t>
            </w:r>
            <w:r w:rsidR="00671D3F" w:rsidRPr="004528C4">
              <w:rPr>
                <w:rFonts w:eastAsia="Times New Roman" w:cstheme="minorHAnsi"/>
                <w:sz w:val="24"/>
                <w:szCs w:val="24"/>
                <w:lang w:val="el-GR" w:eastAsia="el-GR"/>
              </w:rPr>
              <w:t>επιδομάτων</w:t>
            </w:r>
            <w:r w:rsidR="00C36AF5" w:rsidRPr="004528C4">
              <w:rPr>
                <w:rFonts w:eastAsia="Times New Roman" w:cstheme="minorHAnsi"/>
                <w:sz w:val="24"/>
                <w:szCs w:val="24"/>
                <w:lang w:val="el-GR" w:eastAsia="el-GR"/>
              </w:rPr>
              <w:t>,</w:t>
            </w:r>
            <w:r w:rsidR="00671D3F" w:rsidRPr="004528C4">
              <w:rPr>
                <w:rFonts w:eastAsia="Times New Roman" w:cstheme="minorHAnsi"/>
                <w:sz w:val="24"/>
                <w:szCs w:val="24"/>
                <w:lang w:val="el-GR" w:eastAsia="el-GR"/>
              </w:rPr>
              <w:t xml:space="preserve"> η ε</w:t>
            </w:r>
            <w:r w:rsidR="00C36AF5" w:rsidRPr="004528C4">
              <w:rPr>
                <w:rFonts w:eastAsia="Times New Roman" w:cstheme="minorHAnsi"/>
                <w:sz w:val="24"/>
                <w:szCs w:val="24"/>
                <w:lang w:val="el-GR" w:eastAsia="el-GR"/>
              </w:rPr>
              <w:t xml:space="preserve">παναφορά και συμπλήρωση </w:t>
            </w:r>
            <w:r w:rsidR="00671D3F" w:rsidRPr="004528C4">
              <w:rPr>
                <w:rFonts w:eastAsia="Times New Roman" w:cstheme="minorHAnsi"/>
                <w:sz w:val="24"/>
                <w:szCs w:val="24"/>
                <w:lang w:val="el-GR" w:eastAsia="el-GR"/>
              </w:rPr>
              <w:t xml:space="preserve">των ευνοϊκών διατάξεων </w:t>
            </w:r>
            <w:r w:rsidR="00C36AF5" w:rsidRPr="004528C4">
              <w:rPr>
                <w:rFonts w:eastAsia="Times New Roman" w:cstheme="minorHAnsi"/>
                <w:sz w:val="24"/>
                <w:szCs w:val="24"/>
                <w:lang w:val="el-GR" w:eastAsia="el-GR"/>
              </w:rPr>
              <w:t xml:space="preserve">για τη συνταξιοδότηση των γονέων/ συζύγων/ αδελφών που έχουν στη φροντίδα τους άτομα με βαριά αναπηρία, </w:t>
            </w:r>
            <w:r w:rsidR="00671D3F" w:rsidRPr="004528C4">
              <w:rPr>
                <w:rFonts w:eastAsia="Times New Roman" w:cstheme="minorHAnsi"/>
                <w:sz w:val="24"/>
                <w:szCs w:val="24"/>
                <w:lang w:val="el-GR" w:eastAsia="el-GR"/>
              </w:rPr>
              <w:t>η α</w:t>
            </w:r>
            <w:r w:rsidR="00C36AF5" w:rsidRPr="004528C4">
              <w:rPr>
                <w:rFonts w:eastAsia="Times New Roman" w:cstheme="minorHAnsi"/>
                <w:sz w:val="24"/>
                <w:szCs w:val="24"/>
                <w:lang w:val="el-GR" w:eastAsia="el-GR"/>
              </w:rPr>
              <w:t>ποσύνδεση των προνοιακών επιδομάτων από τις συντάξεις</w:t>
            </w:r>
            <w:r w:rsidR="00671D3F" w:rsidRPr="004528C4">
              <w:rPr>
                <w:rFonts w:eastAsia="Times New Roman" w:cstheme="minorHAnsi"/>
                <w:sz w:val="24"/>
                <w:szCs w:val="24"/>
                <w:lang w:val="el-GR" w:eastAsia="el-GR"/>
              </w:rPr>
              <w:t xml:space="preserve">, </w:t>
            </w:r>
            <w:r w:rsidR="00DA0BBC" w:rsidRPr="004528C4">
              <w:rPr>
                <w:rFonts w:eastAsia="Times New Roman" w:cstheme="minorHAnsi"/>
                <w:sz w:val="24"/>
                <w:szCs w:val="24"/>
                <w:lang w:val="el-GR" w:eastAsia="el-GR"/>
              </w:rPr>
              <w:t>η φορολογική ελάφρυνση των ατόμων με αναπηρία 67% και άνω</w:t>
            </w:r>
            <w:r w:rsidR="00236EB1" w:rsidRPr="004528C4">
              <w:rPr>
                <w:rFonts w:eastAsia="Times New Roman" w:cstheme="minorHAnsi"/>
                <w:sz w:val="24"/>
                <w:szCs w:val="24"/>
                <w:lang w:val="el-GR" w:eastAsia="el-GR"/>
              </w:rPr>
              <w:t xml:space="preserve">, </w:t>
            </w:r>
            <w:r w:rsidR="00671D3F" w:rsidRPr="004528C4">
              <w:rPr>
                <w:rFonts w:eastAsia="Times New Roman" w:cstheme="minorHAnsi"/>
                <w:sz w:val="24"/>
                <w:szCs w:val="24"/>
                <w:lang w:val="el-GR" w:eastAsia="el-GR"/>
              </w:rPr>
              <w:t xml:space="preserve">αποτελούν </w:t>
            </w:r>
            <w:r w:rsidR="00DA0BBC" w:rsidRPr="004528C4">
              <w:rPr>
                <w:rFonts w:eastAsia="Times New Roman" w:cstheme="minorHAnsi"/>
                <w:sz w:val="24"/>
                <w:szCs w:val="24"/>
                <w:lang w:val="el-GR" w:eastAsia="el-GR"/>
              </w:rPr>
              <w:t xml:space="preserve">σε αυτή την κατεύθυνση </w:t>
            </w:r>
            <w:r w:rsidR="00671D3F" w:rsidRPr="004528C4">
              <w:rPr>
                <w:rFonts w:eastAsia="Times New Roman" w:cstheme="minorHAnsi"/>
                <w:sz w:val="24"/>
                <w:szCs w:val="24"/>
                <w:lang w:val="el-GR" w:eastAsia="el-GR"/>
              </w:rPr>
              <w:t xml:space="preserve">βασικές </w:t>
            </w:r>
            <w:r w:rsidR="00236EB1" w:rsidRPr="004528C4">
              <w:rPr>
                <w:rFonts w:eastAsia="Times New Roman" w:cstheme="minorHAnsi"/>
                <w:sz w:val="24"/>
                <w:szCs w:val="24"/>
                <w:lang w:val="el-GR" w:eastAsia="el-GR"/>
              </w:rPr>
              <w:t>προτάσεις</w:t>
            </w:r>
            <w:r w:rsidR="00671D3F" w:rsidRPr="004528C4">
              <w:rPr>
                <w:rFonts w:eastAsia="Times New Roman" w:cstheme="minorHAnsi"/>
                <w:sz w:val="24"/>
                <w:szCs w:val="24"/>
                <w:lang w:val="el-GR" w:eastAsia="el-GR"/>
              </w:rPr>
              <w:t xml:space="preserve"> της ΕΣΑμεΑ.</w:t>
            </w:r>
          </w:p>
          <w:p w14:paraId="033E02B6" w14:textId="44C16E8B" w:rsidR="009121AB" w:rsidRPr="00BE54B8" w:rsidRDefault="00BE54B8" w:rsidP="007F7EFE">
            <w:pPr>
              <w:shd w:val="clear" w:color="auto" w:fill="EBF1DE"/>
              <w:jc w:val="both"/>
              <w:rPr>
                <w:rFonts w:eastAsia="Times New Roman" w:cstheme="minorHAnsi"/>
                <w:lang w:val="el-GR" w:eastAsia="el-GR"/>
              </w:rPr>
            </w:pPr>
            <w:r w:rsidRPr="004528C4">
              <w:rPr>
                <w:rFonts w:eastAsia="Times New Roman" w:cstheme="minorHAnsi"/>
                <w:sz w:val="24"/>
                <w:szCs w:val="24"/>
                <w:lang w:val="el-GR" w:eastAsia="el-GR"/>
              </w:rPr>
              <w:t>Μ</w:t>
            </w:r>
            <w:r w:rsidR="00AB2B16" w:rsidRPr="004528C4">
              <w:rPr>
                <w:rFonts w:eastAsia="Times New Roman" w:cstheme="minorHAnsi"/>
                <w:sz w:val="24"/>
                <w:szCs w:val="24"/>
                <w:lang w:val="el-GR" w:eastAsia="el-GR"/>
              </w:rPr>
              <w:t xml:space="preserve">είζον ζήτημα αποτελεί </w:t>
            </w:r>
            <w:r w:rsidR="00950572" w:rsidRPr="004528C4">
              <w:rPr>
                <w:rFonts w:eastAsia="Times New Roman" w:cstheme="minorHAnsi"/>
                <w:sz w:val="24"/>
                <w:szCs w:val="24"/>
                <w:lang w:val="el-GR" w:eastAsia="el-GR"/>
              </w:rPr>
              <w:t xml:space="preserve">επίσης </w:t>
            </w:r>
            <w:r w:rsidR="00AB2B16" w:rsidRPr="004528C4">
              <w:rPr>
                <w:rFonts w:eastAsia="Times New Roman" w:cstheme="minorHAnsi"/>
                <w:sz w:val="24"/>
                <w:szCs w:val="24"/>
                <w:lang w:val="el-GR" w:eastAsia="el-GR"/>
              </w:rPr>
              <w:t xml:space="preserve">το υπέρογκο </w:t>
            </w:r>
            <w:r w:rsidR="00C207FE" w:rsidRPr="004528C4">
              <w:rPr>
                <w:rFonts w:eastAsia="Times New Roman" w:cstheme="minorHAnsi"/>
                <w:sz w:val="24"/>
                <w:szCs w:val="24"/>
                <w:lang w:val="el-GR" w:eastAsia="el-GR"/>
              </w:rPr>
              <w:t xml:space="preserve">ιδιωτικό </w:t>
            </w:r>
            <w:r w:rsidR="00AB2B16" w:rsidRPr="004528C4">
              <w:rPr>
                <w:rFonts w:eastAsia="Times New Roman" w:cstheme="minorHAnsi"/>
                <w:sz w:val="24"/>
                <w:szCs w:val="24"/>
                <w:lang w:val="el-GR" w:eastAsia="el-GR"/>
              </w:rPr>
              <w:t xml:space="preserve">κόστος </w:t>
            </w:r>
            <w:r w:rsidR="00C207FE" w:rsidRPr="004528C4">
              <w:rPr>
                <w:rFonts w:eastAsia="Times New Roman" w:cstheme="minorHAnsi"/>
                <w:sz w:val="24"/>
                <w:szCs w:val="24"/>
                <w:lang w:val="el-GR" w:eastAsia="el-GR"/>
              </w:rPr>
              <w:t xml:space="preserve">της </w:t>
            </w:r>
            <w:r w:rsidR="00AB2B16" w:rsidRPr="004528C4">
              <w:rPr>
                <w:rFonts w:eastAsia="Times New Roman" w:cstheme="minorHAnsi"/>
                <w:sz w:val="24"/>
                <w:szCs w:val="24"/>
                <w:lang w:val="el-GR" w:eastAsia="el-GR"/>
              </w:rPr>
              <w:t>υγείας, που επωμίζονται τα άτομα με αναπηρία</w:t>
            </w:r>
            <w:r w:rsidR="00101EAF" w:rsidRPr="004528C4">
              <w:rPr>
                <w:rFonts w:eastAsia="Times New Roman" w:cstheme="minorHAnsi"/>
                <w:sz w:val="24"/>
                <w:szCs w:val="24"/>
                <w:lang w:val="el-GR" w:eastAsia="el-GR"/>
              </w:rPr>
              <w:t xml:space="preserve"> με χρόνιες ή/και</w:t>
            </w:r>
            <w:r w:rsidR="00AB2B16" w:rsidRPr="004528C4">
              <w:rPr>
                <w:rFonts w:eastAsia="Times New Roman" w:cstheme="minorHAnsi"/>
                <w:sz w:val="24"/>
                <w:szCs w:val="24"/>
                <w:lang w:val="el-GR" w:eastAsia="el-GR"/>
              </w:rPr>
              <w:t xml:space="preserve"> </w:t>
            </w:r>
            <w:r w:rsidR="00101EAF" w:rsidRPr="004528C4">
              <w:rPr>
                <w:rFonts w:eastAsia="Times New Roman" w:cstheme="minorHAnsi"/>
                <w:sz w:val="24"/>
                <w:szCs w:val="24"/>
                <w:lang w:val="el-GR" w:eastAsia="el-GR"/>
              </w:rPr>
              <w:t>σπάνιες</w:t>
            </w:r>
            <w:r w:rsidR="00AB2B16" w:rsidRPr="004528C4">
              <w:rPr>
                <w:rFonts w:eastAsia="Times New Roman" w:cstheme="minorHAnsi"/>
                <w:sz w:val="24"/>
                <w:szCs w:val="24"/>
                <w:lang w:val="el-GR" w:eastAsia="el-GR"/>
              </w:rPr>
              <w:t xml:space="preserve"> παθήσεις στην Ελλάδα, το οποίο είναι το μεγαλύτερο στις 27 χώρες της Ε.Ε</w:t>
            </w:r>
            <w:r w:rsidRPr="004528C4">
              <w:rPr>
                <w:rFonts w:eastAsia="Times New Roman" w:cstheme="minorHAnsi"/>
                <w:sz w:val="24"/>
                <w:szCs w:val="24"/>
                <w:lang w:val="el-GR" w:eastAsia="el-GR"/>
              </w:rPr>
              <w:t xml:space="preserve">. Σύμφωνα με την πρόσφατη πανελλαδική έρευνα της ΕΣΑμεΑ </w:t>
            </w:r>
            <w:r w:rsidR="00CD137A" w:rsidRPr="004528C4">
              <w:rPr>
                <w:rFonts w:eastAsia="Times New Roman" w:cstheme="minorHAnsi"/>
                <w:sz w:val="24"/>
                <w:szCs w:val="24"/>
                <w:lang w:val="el-GR" w:eastAsia="el-GR"/>
              </w:rPr>
              <w:t>για την Πρόσβαση των ατόμων με αναπηρία ή/και χρόνιες και σπάνιες παθήσεις στην Υγεία</w:t>
            </w:r>
            <w:r w:rsidR="00CD137A" w:rsidRPr="004528C4">
              <w:rPr>
                <w:rStyle w:val="a9"/>
                <w:rFonts w:eastAsia="Times New Roman" w:cstheme="minorHAnsi"/>
                <w:sz w:val="24"/>
                <w:szCs w:val="24"/>
                <w:lang w:val="el-GR" w:eastAsia="el-GR"/>
              </w:rPr>
              <w:footnoteReference w:id="4"/>
            </w:r>
            <w:r w:rsidR="00CD137A" w:rsidRPr="004528C4">
              <w:rPr>
                <w:rFonts w:eastAsia="Times New Roman" w:cstheme="minorHAnsi"/>
                <w:sz w:val="24"/>
                <w:szCs w:val="24"/>
                <w:lang w:val="el-GR" w:eastAsia="el-GR"/>
              </w:rPr>
              <w:t xml:space="preserve"> </w:t>
            </w:r>
            <w:r w:rsidR="00AB2B16" w:rsidRPr="004528C4">
              <w:rPr>
                <w:rFonts w:eastAsia="Times New Roman" w:cstheme="minorHAnsi"/>
                <w:sz w:val="24"/>
                <w:szCs w:val="24"/>
                <w:lang w:val="el-GR" w:eastAsia="el-GR"/>
              </w:rPr>
              <w:t>το 78% των ατόμων με αναπηρία, χρόνιες και σπάνιες παθήσεις τα δύο τελευταία χρόνια</w:t>
            </w:r>
            <w:r w:rsidRPr="004528C4">
              <w:rPr>
                <w:rFonts w:eastAsia="Times New Roman" w:cstheme="minorHAnsi"/>
                <w:sz w:val="24"/>
                <w:szCs w:val="24"/>
                <w:lang w:val="el-GR" w:eastAsia="el-GR"/>
              </w:rPr>
              <w:t>,</w:t>
            </w:r>
            <w:r w:rsidR="00093E9D">
              <w:rPr>
                <w:rFonts w:eastAsia="Times New Roman" w:cstheme="minorHAnsi"/>
                <w:sz w:val="24"/>
                <w:szCs w:val="24"/>
                <w:lang w:val="el-GR" w:eastAsia="el-GR"/>
              </w:rPr>
              <w:t xml:space="preserve"> </w:t>
            </w:r>
            <w:r w:rsidRPr="004528C4">
              <w:rPr>
                <w:rFonts w:eastAsia="Times New Roman" w:cstheme="minorHAnsi"/>
                <w:sz w:val="24"/>
                <w:szCs w:val="24"/>
                <w:lang w:val="el-GR" w:eastAsia="el-GR"/>
              </w:rPr>
              <w:t xml:space="preserve">έχουν </w:t>
            </w:r>
            <w:r w:rsidR="00AB2B16" w:rsidRPr="004528C4">
              <w:rPr>
                <w:rFonts w:eastAsia="Times New Roman" w:cstheme="minorHAnsi"/>
                <w:sz w:val="24"/>
                <w:szCs w:val="24"/>
                <w:lang w:val="el-GR" w:eastAsia="el-GR"/>
              </w:rPr>
              <w:t xml:space="preserve">μειώσει δαπάνες για βασικές ανάγκες </w:t>
            </w:r>
            <w:r w:rsidR="00AB2B16" w:rsidRPr="004528C4">
              <w:rPr>
                <w:rFonts w:eastAsia="Times New Roman" w:cstheme="minorHAnsi"/>
                <w:sz w:val="24"/>
                <w:szCs w:val="24"/>
                <w:lang w:val="el-GR" w:eastAsia="el-GR"/>
              </w:rPr>
              <w:lastRenderedPageBreak/>
              <w:t xml:space="preserve">διαβίωσης </w:t>
            </w:r>
            <w:r w:rsidRPr="004528C4">
              <w:rPr>
                <w:rFonts w:eastAsia="Times New Roman" w:cstheme="minorHAnsi"/>
                <w:sz w:val="24"/>
                <w:szCs w:val="24"/>
                <w:lang w:val="el-GR" w:eastAsia="el-GR"/>
              </w:rPr>
              <w:t xml:space="preserve">(τρόφιμα και ρούχα) </w:t>
            </w:r>
            <w:r w:rsidR="00AB2B16" w:rsidRPr="004528C4">
              <w:rPr>
                <w:rFonts w:eastAsia="Times New Roman" w:cstheme="minorHAnsi"/>
                <w:sz w:val="24"/>
                <w:szCs w:val="24"/>
                <w:lang w:val="el-GR" w:eastAsia="el-GR"/>
              </w:rPr>
              <w:t xml:space="preserve">προκειμένου να καλύψουν το κόστος της υγείας τους. </w:t>
            </w:r>
            <w:r w:rsidR="00C207FE" w:rsidRPr="004528C4">
              <w:rPr>
                <w:rFonts w:eastAsia="Times New Roman" w:cstheme="minorHAnsi"/>
                <w:sz w:val="24"/>
                <w:szCs w:val="24"/>
                <w:lang w:val="el-GR" w:eastAsia="el-GR"/>
              </w:rPr>
              <w:t>Ε</w:t>
            </w:r>
            <w:r w:rsidR="00AB2B16" w:rsidRPr="004528C4">
              <w:rPr>
                <w:rFonts w:eastAsia="Times New Roman" w:cstheme="minorHAnsi"/>
                <w:sz w:val="24"/>
                <w:szCs w:val="24"/>
                <w:lang w:val="el-GR" w:eastAsia="el-GR"/>
              </w:rPr>
              <w:t>ίναι αναγκαία η λήψη άμεσων</w:t>
            </w:r>
            <w:r w:rsidR="00775178" w:rsidRPr="004528C4">
              <w:rPr>
                <w:rFonts w:eastAsia="Times New Roman" w:cstheme="minorHAnsi"/>
                <w:sz w:val="24"/>
                <w:szCs w:val="24"/>
                <w:lang w:val="el-GR" w:eastAsia="el-GR"/>
              </w:rPr>
              <w:t xml:space="preserve"> </w:t>
            </w:r>
            <w:r w:rsidR="00AB2B16" w:rsidRPr="004528C4">
              <w:rPr>
                <w:rFonts w:eastAsia="Times New Roman" w:cstheme="minorHAnsi"/>
                <w:sz w:val="24"/>
                <w:szCs w:val="24"/>
                <w:lang w:val="el-GR" w:eastAsia="el-GR"/>
              </w:rPr>
              <w:t xml:space="preserve">μέτρων </w:t>
            </w:r>
            <w:r w:rsidR="00CD7E73" w:rsidRPr="004528C4">
              <w:rPr>
                <w:rFonts w:eastAsia="Times New Roman" w:cstheme="minorHAnsi"/>
                <w:sz w:val="24"/>
                <w:szCs w:val="24"/>
                <w:lang w:val="el-GR" w:eastAsia="el-GR"/>
              </w:rPr>
              <w:t xml:space="preserve">όπως η </w:t>
            </w:r>
            <w:r w:rsidR="009121AB" w:rsidRPr="004528C4">
              <w:rPr>
                <w:rFonts w:eastAsia="Times New Roman" w:cstheme="minorHAnsi"/>
                <w:sz w:val="24"/>
                <w:szCs w:val="24"/>
                <w:lang w:val="el-GR" w:eastAsia="el-GR"/>
              </w:rPr>
              <w:t xml:space="preserve">μείωση του ΦΠΑ στο χαμηλότερο συντελεστή για τα απαραίτητα </w:t>
            </w:r>
            <w:r w:rsidRPr="004528C4">
              <w:rPr>
                <w:rFonts w:eastAsia="Times New Roman" w:cstheme="minorHAnsi"/>
                <w:sz w:val="24"/>
                <w:szCs w:val="24"/>
                <w:lang w:val="el-GR" w:eastAsia="el-GR"/>
              </w:rPr>
              <w:t xml:space="preserve">τεχνικά </w:t>
            </w:r>
            <w:r w:rsidR="009121AB" w:rsidRPr="004528C4">
              <w:rPr>
                <w:rFonts w:eastAsia="Times New Roman" w:cstheme="minorHAnsi"/>
                <w:sz w:val="24"/>
                <w:szCs w:val="24"/>
                <w:lang w:val="el-GR" w:eastAsia="el-GR"/>
              </w:rPr>
              <w:t>βοηθήματα</w:t>
            </w:r>
            <w:r w:rsidR="00CD7E73" w:rsidRPr="004528C4">
              <w:rPr>
                <w:rFonts w:eastAsia="Times New Roman" w:cstheme="minorHAnsi"/>
                <w:sz w:val="24"/>
                <w:szCs w:val="24"/>
                <w:lang w:val="el-GR" w:eastAsia="el-GR"/>
              </w:rPr>
              <w:t xml:space="preserve">, </w:t>
            </w:r>
            <w:r w:rsidR="00AB2B16" w:rsidRPr="004528C4">
              <w:rPr>
                <w:rFonts w:eastAsia="Times New Roman" w:cstheme="minorHAnsi"/>
                <w:sz w:val="24"/>
                <w:szCs w:val="24"/>
                <w:lang w:val="el-GR" w:eastAsia="el-GR"/>
              </w:rPr>
              <w:t xml:space="preserve">η </w:t>
            </w:r>
            <w:r w:rsidR="009121AB" w:rsidRPr="004528C4">
              <w:rPr>
                <w:rFonts w:eastAsia="Times New Roman" w:cstheme="minorHAnsi"/>
                <w:sz w:val="24"/>
                <w:szCs w:val="24"/>
                <w:lang w:val="el-GR" w:eastAsia="el-GR"/>
              </w:rPr>
              <w:t xml:space="preserve">επαναφορά του άρθρου 18 του ν. 4172/2013 που προέβλεπε μείωση φόρου από ιατρικές δαπάνες, για τα άτομα με αναπηρία, με χρόνιες ή/και σπάνιες παθήσεις και τις οικογένειές τους, καθώς και </w:t>
            </w:r>
            <w:r w:rsidRPr="004528C4">
              <w:rPr>
                <w:rFonts w:eastAsia="Times New Roman" w:cstheme="minorHAnsi"/>
                <w:sz w:val="24"/>
                <w:szCs w:val="24"/>
                <w:lang w:val="el-GR" w:eastAsia="el-GR"/>
              </w:rPr>
              <w:t xml:space="preserve">η </w:t>
            </w:r>
            <w:r w:rsidR="009121AB" w:rsidRPr="004528C4">
              <w:rPr>
                <w:rFonts w:eastAsia="Times New Roman" w:cstheme="minorHAnsi"/>
                <w:sz w:val="24"/>
                <w:szCs w:val="24"/>
                <w:lang w:val="el-GR" w:eastAsia="el-GR"/>
              </w:rPr>
              <w:t>διεύρυνση αυτού</w:t>
            </w:r>
            <w:r w:rsidR="00CD7E73" w:rsidRPr="004528C4">
              <w:rPr>
                <w:rFonts w:eastAsia="Times New Roman" w:cstheme="minorHAnsi"/>
                <w:sz w:val="24"/>
                <w:szCs w:val="24"/>
                <w:lang w:val="el-GR" w:eastAsia="el-GR"/>
              </w:rPr>
              <w:t xml:space="preserve">, </w:t>
            </w:r>
            <w:r w:rsidR="00775178" w:rsidRPr="004528C4">
              <w:rPr>
                <w:rFonts w:eastAsia="Times New Roman" w:cstheme="minorHAnsi"/>
                <w:sz w:val="24"/>
                <w:szCs w:val="24"/>
                <w:lang w:val="el-GR" w:eastAsia="el-GR"/>
              </w:rPr>
              <w:t xml:space="preserve">αλλά και η μακροπρόθεσμη ενίσχυση </w:t>
            </w:r>
            <w:r w:rsidRPr="004528C4">
              <w:rPr>
                <w:rFonts w:eastAsia="Times New Roman" w:cstheme="minorHAnsi"/>
                <w:sz w:val="24"/>
                <w:szCs w:val="24"/>
                <w:lang w:val="el-GR" w:eastAsia="el-GR"/>
              </w:rPr>
              <w:t xml:space="preserve">και στήριξη </w:t>
            </w:r>
            <w:r w:rsidR="00775178" w:rsidRPr="004528C4">
              <w:rPr>
                <w:rFonts w:eastAsia="Times New Roman" w:cstheme="minorHAnsi"/>
                <w:sz w:val="24"/>
                <w:szCs w:val="24"/>
                <w:lang w:val="el-GR" w:eastAsia="el-GR"/>
              </w:rPr>
              <w:t>του δημόσιου συστήματος υγείας, προκειμένου να μπορεί να ανταποκριθεί με επάρκεια στις ανάγκες υγείας των ατόμων με αναπηρία και χρόνιες/σπάνιες παθήσεις καθώς και των ανασφάλιστων ατόμων.</w:t>
            </w:r>
            <w:r w:rsidR="00093E9D">
              <w:rPr>
                <w:rFonts w:eastAsia="Times New Roman" w:cstheme="minorHAnsi"/>
                <w:sz w:val="24"/>
                <w:szCs w:val="24"/>
                <w:lang w:val="el-GR" w:eastAsia="el-GR"/>
              </w:rPr>
              <w:t xml:space="preserve"> </w:t>
            </w:r>
            <w:r w:rsidRPr="004528C4">
              <w:rPr>
                <w:rFonts w:eastAsia="Times New Roman" w:cstheme="minorHAnsi"/>
                <w:sz w:val="24"/>
                <w:szCs w:val="24"/>
                <w:lang w:val="el-GR" w:eastAsia="el-GR"/>
              </w:rPr>
              <w:t>Τέλος, σ</w:t>
            </w:r>
            <w:r w:rsidR="00CD7E73" w:rsidRPr="004528C4">
              <w:rPr>
                <w:rFonts w:eastAsia="Times New Roman" w:cstheme="minorHAnsi"/>
                <w:sz w:val="24"/>
                <w:szCs w:val="24"/>
                <w:lang w:val="el-GR" w:eastAsia="el-GR"/>
              </w:rPr>
              <w:t xml:space="preserve">ε μια εποχή που η φτώχεια λαμβάνει τα ακραία χαρακτηριστικά </w:t>
            </w:r>
            <w:r w:rsidR="00C47F91" w:rsidRPr="004528C4">
              <w:rPr>
                <w:rFonts w:eastAsia="Times New Roman" w:cstheme="minorHAnsi"/>
                <w:sz w:val="24"/>
                <w:szCs w:val="24"/>
                <w:lang w:val="el-GR" w:eastAsia="el-GR"/>
              </w:rPr>
              <w:t>της</w:t>
            </w:r>
            <w:r w:rsidR="00CD7E73" w:rsidRPr="004528C4">
              <w:rPr>
                <w:rFonts w:eastAsia="Times New Roman" w:cstheme="minorHAnsi"/>
                <w:sz w:val="24"/>
                <w:szCs w:val="24"/>
                <w:lang w:val="el-GR" w:eastAsia="el-GR"/>
              </w:rPr>
              <w:t xml:space="preserve"> στεγαστικής</w:t>
            </w:r>
            <w:r w:rsidR="00C47F91" w:rsidRPr="004528C4">
              <w:rPr>
                <w:rFonts w:eastAsia="Times New Roman" w:cstheme="minorHAnsi"/>
                <w:sz w:val="24"/>
                <w:szCs w:val="24"/>
                <w:lang w:val="el-GR" w:eastAsia="el-GR"/>
              </w:rPr>
              <w:t xml:space="preserve"> κρίσης</w:t>
            </w:r>
            <w:r w:rsidR="005A2167" w:rsidRPr="004528C4">
              <w:rPr>
                <w:rFonts w:eastAsia="Times New Roman" w:cstheme="minorHAnsi"/>
                <w:sz w:val="24"/>
                <w:szCs w:val="24"/>
                <w:lang w:val="el-GR" w:eastAsia="el-GR"/>
              </w:rPr>
              <w:t xml:space="preserve"> και </w:t>
            </w:r>
            <w:r w:rsidR="00C47F91" w:rsidRPr="004528C4">
              <w:rPr>
                <w:rFonts w:eastAsia="Times New Roman" w:cstheme="minorHAnsi"/>
                <w:sz w:val="24"/>
                <w:szCs w:val="24"/>
                <w:lang w:val="el-GR" w:eastAsia="el-GR"/>
              </w:rPr>
              <w:t xml:space="preserve">της </w:t>
            </w:r>
            <w:r w:rsidR="005A2167" w:rsidRPr="004528C4">
              <w:rPr>
                <w:rFonts w:eastAsia="Times New Roman" w:cstheme="minorHAnsi"/>
                <w:sz w:val="24"/>
                <w:szCs w:val="24"/>
                <w:lang w:val="el-GR" w:eastAsia="el-GR"/>
              </w:rPr>
              <w:t>ενεργειακής φτώχειας</w:t>
            </w:r>
            <w:r w:rsidR="00CD7E73" w:rsidRPr="004528C4">
              <w:rPr>
                <w:rFonts w:eastAsia="Times New Roman" w:cstheme="minorHAnsi"/>
                <w:sz w:val="24"/>
                <w:szCs w:val="24"/>
                <w:lang w:val="el-GR" w:eastAsia="el-GR"/>
              </w:rPr>
              <w:t xml:space="preserve">, είναι </w:t>
            </w:r>
            <w:r w:rsidRPr="004528C4">
              <w:rPr>
                <w:rFonts w:eastAsia="Times New Roman" w:cstheme="minorHAnsi"/>
                <w:sz w:val="24"/>
                <w:szCs w:val="24"/>
                <w:lang w:val="el-GR" w:eastAsia="el-GR"/>
              </w:rPr>
              <w:t>αναγκαίο</w:t>
            </w:r>
            <w:r w:rsidR="00CD7E73" w:rsidRPr="004528C4">
              <w:rPr>
                <w:rFonts w:eastAsia="Times New Roman" w:cstheme="minorHAnsi"/>
                <w:sz w:val="24"/>
                <w:szCs w:val="24"/>
                <w:lang w:val="el-GR" w:eastAsia="el-GR"/>
              </w:rPr>
              <w:t xml:space="preserve"> να εξασφαλιστεί η </w:t>
            </w:r>
            <w:r w:rsidR="009121AB" w:rsidRPr="004528C4">
              <w:rPr>
                <w:rFonts w:eastAsia="Times New Roman" w:cstheme="minorHAnsi"/>
                <w:sz w:val="24"/>
                <w:szCs w:val="24"/>
                <w:lang w:val="el-GR" w:eastAsia="el-GR"/>
              </w:rPr>
              <w:t>στεγαστική και ενεργειακή ασφάλεια των</w:t>
            </w:r>
            <w:r w:rsidR="00580806" w:rsidRPr="004528C4">
              <w:rPr>
                <w:rFonts w:eastAsia="Times New Roman" w:cstheme="minorHAnsi"/>
                <w:sz w:val="24"/>
                <w:szCs w:val="24"/>
                <w:lang w:val="el-GR" w:eastAsia="el-GR"/>
              </w:rPr>
              <w:t xml:space="preserve"> ευάλωτων</w:t>
            </w:r>
            <w:r w:rsidR="009121AB" w:rsidRPr="004528C4">
              <w:rPr>
                <w:rFonts w:eastAsia="Times New Roman" w:cstheme="minorHAnsi"/>
                <w:sz w:val="24"/>
                <w:szCs w:val="24"/>
                <w:lang w:val="el-GR" w:eastAsia="el-GR"/>
              </w:rPr>
              <w:t xml:space="preserve"> </w:t>
            </w:r>
            <w:r w:rsidR="00CD7E73" w:rsidRPr="004528C4">
              <w:rPr>
                <w:rFonts w:eastAsia="Times New Roman" w:cstheme="minorHAnsi"/>
                <w:sz w:val="24"/>
                <w:szCs w:val="24"/>
                <w:lang w:val="el-GR" w:eastAsia="el-GR"/>
              </w:rPr>
              <w:t>πολιτών</w:t>
            </w:r>
            <w:r w:rsidR="00093E9D">
              <w:rPr>
                <w:rFonts w:eastAsia="Times New Roman" w:cstheme="minorHAnsi"/>
                <w:sz w:val="24"/>
                <w:szCs w:val="24"/>
                <w:lang w:val="el-GR" w:eastAsia="el-GR"/>
              </w:rPr>
              <w:t xml:space="preserve"> </w:t>
            </w:r>
            <w:r w:rsidRPr="004528C4">
              <w:rPr>
                <w:rFonts w:eastAsia="Times New Roman" w:cstheme="minorHAnsi"/>
                <w:sz w:val="24"/>
                <w:szCs w:val="24"/>
                <w:lang w:val="el-GR" w:eastAsia="el-GR"/>
              </w:rPr>
              <w:t>που βρίσκονται στον μεγαλύτερο κίνδυνο φτώχειας</w:t>
            </w:r>
            <w:r w:rsidR="00326A57" w:rsidRPr="004528C4">
              <w:rPr>
                <w:rFonts w:eastAsia="Times New Roman" w:cstheme="minorHAnsi"/>
                <w:sz w:val="24"/>
                <w:szCs w:val="24"/>
                <w:lang w:val="el-GR" w:eastAsia="el-GR"/>
              </w:rPr>
              <w:t>. Τα άτομα με αναπηρία στην Ελλάδα αντιμετωπίζουν υπερβολική επιβάρυνση από το κόστος στέγασης σε ποσοστό που είναι επίσης το υψηλότερο μεταξύ των χωρών της Ε.Ε. Είναι άμεσα αναγκαίο</w:t>
            </w:r>
            <w:r w:rsidR="00CD7E73" w:rsidRPr="004528C4">
              <w:rPr>
                <w:rFonts w:eastAsia="Times New Roman" w:cstheme="minorHAnsi"/>
                <w:sz w:val="24"/>
                <w:szCs w:val="24"/>
                <w:lang w:val="el-GR" w:eastAsia="el-GR"/>
              </w:rPr>
              <w:t xml:space="preserve"> να διασφαλιστεί η προστασία τους </w:t>
            </w:r>
            <w:r w:rsidR="009121AB" w:rsidRPr="004528C4">
              <w:rPr>
                <w:rFonts w:eastAsia="Times New Roman" w:cstheme="minorHAnsi"/>
                <w:sz w:val="24"/>
                <w:szCs w:val="24"/>
                <w:lang w:val="el-GR" w:eastAsia="el-GR"/>
              </w:rPr>
              <w:t xml:space="preserve">από </w:t>
            </w:r>
            <w:r w:rsidR="00CD7E73" w:rsidRPr="004528C4">
              <w:rPr>
                <w:rFonts w:eastAsia="Times New Roman" w:cstheme="minorHAnsi"/>
                <w:sz w:val="24"/>
                <w:szCs w:val="24"/>
                <w:lang w:val="el-GR" w:eastAsia="el-GR"/>
              </w:rPr>
              <w:t xml:space="preserve">τους </w:t>
            </w:r>
            <w:r w:rsidR="009121AB" w:rsidRPr="004528C4">
              <w:rPr>
                <w:rFonts w:eastAsia="Times New Roman" w:cstheme="minorHAnsi"/>
                <w:sz w:val="24"/>
                <w:szCs w:val="24"/>
                <w:lang w:val="el-GR" w:eastAsia="el-GR"/>
              </w:rPr>
              <w:t>πλειστηριασμ</w:t>
            </w:r>
            <w:r w:rsidR="00CD7E73" w:rsidRPr="004528C4">
              <w:rPr>
                <w:rFonts w:eastAsia="Times New Roman" w:cstheme="minorHAnsi"/>
                <w:sz w:val="24"/>
                <w:szCs w:val="24"/>
                <w:lang w:val="el-GR" w:eastAsia="el-GR"/>
              </w:rPr>
              <w:t xml:space="preserve">ούς </w:t>
            </w:r>
            <w:r w:rsidR="009121AB" w:rsidRPr="004528C4">
              <w:rPr>
                <w:rFonts w:eastAsia="Times New Roman" w:cstheme="minorHAnsi"/>
                <w:sz w:val="24"/>
                <w:szCs w:val="24"/>
                <w:lang w:val="el-GR" w:eastAsia="el-GR"/>
              </w:rPr>
              <w:t xml:space="preserve">της πρώτης κατοικίας, </w:t>
            </w:r>
            <w:r w:rsidR="00CD7E73" w:rsidRPr="004528C4">
              <w:rPr>
                <w:rFonts w:eastAsia="Times New Roman" w:cstheme="minorHAnsi"/>
                <w:sz w:val="24"/>
                <w:szCs w:val="24"/>
                <w:lang w:val="el-GR" w:eastAsia="el-GR"/>
              </w:rPr>
              <w:t xml:space="preserve">να διευρυνθεί το μέτρο απαλλαγής </w:t>
            </w:r>
            <w:r w:rsidR="009121AB" w:rsidRPr="004528C4">
              <w:rPr>
                <w:rFonts w:eastAsia="Times New Roman" w:cstheme="minorHAnsi"/>
                <w:sz w:val="24"/>
                <w:szCs w:val="24"/>
                <w:lang w:val="el-GR" w:eastAsia="el-GR"/>
              </w:rPr>
              <w:t xml:space="preserve">από τον ΕΝΦΙΑ για την πρώτη κατοικία </w:t>
            </w:r>
            <w:r w:rsidR="00CD7E73" w:rsidRPr="004528C4">
              <w:rPr>
                <w:rFonts w:eastAsia="Times New Roman" w:cstheme="minorHAnsi"/>
                <w:sz w:val="24"/>
                <w:szCs w:val="24"/>
                <w:lang w:val="el-GR" w:eastAsia="el-GR"/>
              </w:rPr>
              <w:t xml:space="preserve">σε όλα τα άτομα </w:t>
            </w:r>
            <w:r w:rsidR="009121AB" w:rsidRPr="004528C4">
              <w:rPr>
                <w:rFonts w:eastAsia="Times New Roman" w:cstheme="minorHAnsi"/>
                <w:sz w:val="24"/>
                <w:szCs w:val="24"/>
                <w:lang w:val="el-GR" w:eastAsia="el-GR"/>
              </w:rPr>
              <w:t xml:space="preserve">με αναπηρία, με χρόνιες ή/και σπάνιες παθήσεις με ποσοστό αναπηρίας 50% ανεξαρτήτως κατηγορίας αναπηρίας, </w:t>
            </w:r>
            <w:r w:rsidR="00CD7E73" w:rsidRPr="004528C4">
              <w:rPr>
                <w:rFonts w:eastAsia="Times New Roman" w:cstheme="minorHAnsi"/>
                <w:sz w:val="24"/>
                <w:szCs w:val="24"/>
                <w:lang w:val="el-GR" w:eastAsia="el-GR"/>
              </w:rPr>
              <w:t>αλλά και να εξασφαλιστεί διευρυμένη πρόσβαση στα κοινωνικά τιμολόγια ενέργειας.</w:t>
            </w:r>
          </w:p>
        </w:tc>
      </w:tr>
    </w:tbl>
    <w:p w14:paraId="78445789" w14:textId="77777777" w:rsidR="007F7EFE" w:rsidRDefault="007F7EFE" w:rsidP="007F7EFE">
      <w:pPr>
        <w:rPr>
          <w:lang w:val="el-GR"/>
        </w:rPr>
      </w:pPr>
      <w:bookmarkStart w:id="5" w:name="_Toc135310539"/>
      <w:bookmarkStart w:id="6" w:name="_Toc185524532"/>
      <w:bookmarkEnd w:id="4"/>
    </w:p>
    <w:p w14:paraId="37E0C3B9" w14:textId="77777777" w:rsidR="007F7EFE" w:rsidRDefault="007F7EFE">
      <w:pPr>
        <w:spacing w:after="0" w:line="240" w:lineRule="auto"/>
        <w:rPr>
          <w:rFonts w:asciiTheme="majorHAnsi" w:eastAsiaTheme="majorEastAsia" w:hAnsiTheme="majorHAnsi" w:cstheme="majorBidi"/>
          <w:b/>
          <w:bCs/>
          <w:sz w:val="32"/>
          <w:szCs w:val="32"/>
          <w:u w:val="single"/>
          <w:lang w:val="el-GR"/>
        </w:rPr>
      </w:pPr>
      <w:r>
        <w:rPr>
          <w:b/>
          <w:bCs/>
          <w:u w:val="single"/>
          <w:lang w:val="el-GR"/>
        </w:rPr>
        <w:br w:type="page"/>
      </w:r>
    </w:p>
    <w:p w14:paraId="31DB9516" w14:textId="70DF0C1E" w:rsidR="003677F5" w:rsidRPr="007646CD" w:rsidRDefault="003677F5" w:rsidP="003677F5">
      <w:pPr>
        <w:pStyle w:val="10"/>
        <w:numPr>
          <w:ilvl w:val="0"/>
          <w:numId w:val="0"/>
        </w:numPr>
        <w:spacing w:before="600" w:after="240"/>
        <w:jc w:val="center"/>
        <w:rPr>
          <w:b/>
          <w:bCs/>
          <w:color w:val="auto"/>
          <w:u w:val="single"/>
          <w:lang w:val="el-GR"/>
        </w:rPr>
      </w:pPr>
      <w:r w:rsidRPr="007646CD">
        <w:rPr>
          <w:b/>
          <w:bCs/>
          <w:color w:val="auto"/>
          <w:u w:val="single"/>
          <w:lang w:val="el-GR"/>
        </w:rPr>
        <w:lastRenderedPageBreak/>
        <w:t>ΑΝΑΛΥΣΗ ΕΥΡΥΜΑΤΩΝ</w:t>
      </w:r>
      <w:bookmarkEnd w:id="5"/>
      <w:bookmarkEnd w:id="6"/>
    </w:p>
    <w:p w14:paraId="4FF344D8" w14:textId="77777777" w:rsidR="003677F5" w:rsidRPr="007E4A61" w:rsidRDefault="003677F5" w:rsidP="00E33221">
      <w:pPr>
        <w:pStyle w:val="2"/>
        <w:spacing w:before="360" w:after="240"/>
        <w:ind w:left="578" w:right="-142" w:hanging="578"/>
        <w:jc w:val="left"/>
        <w:rPr>
          <w:rFonts w:asciiTheme="minorHAnsi" w:hAnsiTheme="minorHAnsi" w:cstheme="minorHAnsi"/>
          <w:color w:val="auto"/>
        </w:rPr>
      </w:pPr>
      <w:bookmarkStart w:id="7" w:name="_Toc135310540"/>
      <w:bookmarkStart w:id="8" w:name="_Toc185524533"/>
      <w:r w:rsidRPr="007E4A61">
        <w:rPr>
          <w:rFonts w:asciiTheme="minorHAnsi" w:hAnsiTheme="minorHAnsi" w:cstheme="minorHAnsi"/>
          <w:color w:val="auto"/>
        </w:rPr>
        <w:t>Ο Σύνθετος Δείκτης: «Ποσοστό πληθυσμού σε κίνδυνο φτώχειας ή σε κοινωνικό αποκλεισμό» (Europe 2030)</w:t>
      </w:r>
      <w:bookmarkEnd w:id="7"/>
      <w:bookmarkEnd w:id="8"/>
    </w:p>
    <w:p w14:paraId="42A4FE7A" w14:textId="34D093BB" w:rsidR="003677F5" w:rsidRPr="007646CD" w:rsidRDefault="003677F5" w:rsidP="003677F5">
      <w:pPr>
        <w:pStyle w:val="af2"/>
        <w:spacing w:after="200"/>
        <w:ind w:left="0"/>
        <w:contextualSpacing w:val="0"/>
        <w:jc w:val="both"/>
        <w:rPr>
          <w:sz w:val="24"/>
          <w:szCs w:val="24"/>
          <w:lang w:val="el-GR"/>
        </w:rPr>
      </w:pPr>
      <w:bookmarkStart w:id="9" w:name="_Hlk134902748"/>
      <w:r w:rsidRPr="007646CD">
        <w:rPr>
          <w:sz w:val="24"/>
          <w:szCs w:val="24"/>
          <w:lang w:val="el-GR"/>
        </w:rPr>
        <w:t xml:space="preserve">Το 2023, σε κίνδυνο φτώχειας ή σε κοινωνικό αποκλεισμό βρίσκεται το </w:t>
      </w:r>
      <w:bookmarkStart w:id="10" w:name="_Hlk184644615"/>
      <w:r w:rsidRPr="007646CD">
        <w:rPr>
          <w:sz w:val="24"/>
          <w:szCs w:val="24"/>
          <w:lang w:val="el-GR"/>
        </w:rPr>
        <w:t xml:space="preserve">34,1% </w:t>
      </w:r>
      <w:bookmarkEnd w:id="10"/>
      <w:r w:rsidRPr="007646CD">
        <w:rPr>
          <w:sz w:val="24"/>
          <w:szCs w:val="24"/>
          <w:lang w:val="el-GR"/>
        </w:rPr>
        <w:t xml:space="preserve">των ατόμων </w:t>
      </w:r>
      <w:r w:rsidR="005908E3" w:rsidRPr="007646CD">
        <w:rPr>
          <w:sz w:val="24"/>
          <w:szCs w:val="24"/>
          <w:lang w:val="el-GR"/>
        </w:rPr>
        <w:t xml:space="preserve">με σοβαρή αναπηρία </w:t>
      </w:r>
      <w:r w:rsidRPr="007646CD">
        <w:rPr>
          <w:sz w:val="24"/>
          <w:szCs w:val="24"/>
          <w:lang w:val="el-GR"/>
        </w:rPr>
        <w:t xml:space="preserve">16 ετών και άνω, σύμφωνα με τον δείκτη των Στόχων </w:t>
      </w:r>
      <w:r w:rsidR="005908E3">
        <w:rPr>
          <w:sz w:val="24"/>
          <w:szCs w:val="24"/>
          <w:lang w:val="el-GR"/>
        </w:rPr>
        <w:t>της Ευρώπης</w:t>
      </w:r>
      <w:r w:rsidR="00093E9D">
        <w:rPr>
          <w:sz w:val="24"/>
          <w:szCs w:val="24"/>
          <w:lang w:val="el-GR"/>
        </w:rPr>
        <w:t xml:space="preserve"> </w:t>
      </w:r>
      <w:r w:rsidRPr="007646CD">
        <w:rPr>
          <w:sz w:val="24"/>
          <w:szCs w:val="24"/>
          <w:lang w:val="el-GR"/>
        </w:rPr>
        <w:t>2030, έναντι του 24,2 των ατόμων χωρίς αναπηρία της ίδιας ηλικίας.</w:t>
      </w:r>
    </w:p>
    <w:p w14:paraId="4EC374F9" w14:textId="3431F1DA" w:rsidR="003677F5" w:rsidRPr="00E33221" w:rsidRDefault="003677F5" w:rsidP="003677F5">
      <w:pPr>
        <w:pStyle w:val="a4"/>
        <w:ind w:left="567" w:right="565"/>
        <w:jc w:val="center"/>
        <w:rPr>
          <w:rFonts w:asciiTheme="majorHAnsi" w:hAnsiTheme="majorHAnsi" w:cstheme="majorHAnsi"/>
          <w:b/>
          <w:bCs/>
          <w:i w:val="0"/>
          <w:iCs w:val="0"/>
          <w:color w:val="538135" w:themeColor="accent6" w:themeShade="BF"/>
          <w:sz w:val="24"/>
          <w:szCs w:val="24"/>
          <w:lang w:val="el-GR"/>
        </w:rPr>
      </w:pPr>
      <w:bookmarkStart w:id="11" w:name="_Toc135310560"/>
      <w:bookmarkStart w:id="12" w:name="_Toc185586644"/>
      <w:r w:rsidRPr="00E33221">
        <w:rPr>
          <w:rFonts w:asciiTheme="majorHAnsi" w:hAnsiTheme="majorHAnsi" w:cstheme="majorHAnsi"/>
          <w:b/>
          <w:bCs/>
          <w:i w:val="0"/>
          <w:iCs w:val="0"/>
          <w:color w:val="538135" w:themeColor="accent6" w:themeShade="BF"/>
          <w:sz w:val="24"/>
          <w:szCs w:val="24"/>
          <w:lang w:val="el-GR"/>
        </w:rPr>
        <w:t xml:space="preserve">Γράφημα </w:t>
      </w:r>
      <w:r w:rsidRPr="00E33221">
        <w:rPr>
          <w:rFonts w:asciiTheme="majorHAnsi" w:hAnsiTheme="majorHAnsi" w:cstheme="majorHAnsi"/>
          <w:b/>
          <w:bCs/>
          <w:i w:val="0"/>
          <w:iCs w:val="0"/>
          <w:color w:val="538135" w:themeColor="accent6" w:themeShade="BF"/>
          <w:sz w:val="24"/>
          <w:szCs w:val="24"/>
        </w:rPr>
        <w:fldChar w:fldCharType="begin"/>
      </w:r>
      <w:r w:rsidRPr="00E33221">
        <w:rPr>
          <w:rFonts w:asciiTheme="majorHAnsi" w:hAnsiTheme="majorHAnsi" w:cstheme="majorHAnsi"/>
          <w:b/>
          <w:bCs/>
          <w:i w:val="0"/>
          <w:iCs w:val="0"/>
          <w:color w:val="538135" w:themeColor="accent6" w:themeShade="BF"/>
          <w:sz w:val="24"/>
          <w:szCs w:val="24"/>
          <w:lang w:val="el-GR"/>
        </w:rPr>
        <w:instrText xml:space="preserve"> </w:instrText>
      </w:r>
      <w:r w:rsidRPr="00E33221">
        <w:rPr>
          <w:rFonts w:asciiTheme="majorHAnsi" w:hAnsiTheme="majorHAnsi" w:cstheme="majorHAnsi"/>
          <w:b/>
          <w:bCs/>
          <w:i w:val="0"/>
          <w:iCs w:val="0"/>
          <w:color w:val="538135" w:themeColor="accent6" w:themeShade="BF"/>
          <w:sz w:val="24"/>
          <w:szCs w:val="24"/>
        </w:rPr>
        <w:instrText>SEQ</w:instrText>
      </w:r>
      <w:r w:rsidRPr="00E33221">
        <w:rPr>
          <w:rFonts w:asciiTheme="majorHAnsi" w:hAnsiTheme="majorHAnsi" w:cstheme="majorHAnsi"/>
          <w:b/>
          <w:bCs/>
          <w:i w:val="0"/>
          <w:iCs w:val="0"/>
          <w:color w:val="538135" w:themeColor="accent6" w:themeShade="BF"/>
          <w:sz w:val="24"/>
          <w:szCs w:val="24"/>
          <w:lang w:val="el-GR"/>
        </w:rPr>
        <w:instrText xml:space="preserve"> Γράφημα \* </w:instrText>
      </w:r>
      <w:r w:rsidRPr="00E33221">
        <w:rPr>
          <w:rFonts w:asciiTheme="majorHAnsi" w:hAnsiTheme="majorHAnsi" w:cstheme="majorHAnsi"/>
          <w:b/>
          <w:bCs/>
          <w:i w:val="0"/>
          <w:iCs w:val="0"/>
          <w:color w:val="538135" w:themeColor="accent6" w:themeShade="BF"/>
          <w:sz w:val="24"/>
          <w:szCs w:val="24"/>
        </w:rPr>
        <w:instrText>ARABIC</w:instrText>
      </w:r>
      <w:r w:rsidRPr="00E33221">
        <w:rPr>
          <w:rFonts w:asciiTheme="majorHAnsi" w:hAnsiTheme="majorHAnsi" w:cstheme="majorHAnsi"/>
          <w:b/>
          <w:bCs/>
          <w:i w:val="0"/>
          <w:iCs w:val="0"/>
          <w:color w:val="538135" w:themeColor="accent6" w:themeShade="BF"/>
          <w:sz w:val="24"/>
          <w:szCs w:val="24"/>
          <w:lang w:val="el-GR"/>
        </w:rPr>
        <w:instrText xml:space="preserve"> </w:instrText>
      </w:r>
      <w:r w:rsidRPr="00E33221">
        <w:rPr>
          <w:rFonts w:asciiTheme="majorHAnsi" w:hAnsiTheme="majorHAnsi" w:cstheme="majorHAnsi"/>
          <w:b/>
          <w:bCs/>
          <w:i w:val="0"/>
          <w:iCs w:val="0"/>
          <w:color w:val="538135" w:themeColor="accent6" w:themeShade="BF"/>
          <w:sz w:val="24"/>
          <w:szCs w:val="24"/>
        </w:rPr>
        <w:fldChar w:fldCharType="separate"/>
      </w:r>
      <w:r w:rsidR="00686E3C" w:rsidRPr="00E33221">
        <w:rPr>
          <w:rFonts w:asciiTheme="majorHAnsi" w:hAnsiTheme="majorHAnsi" w:cstheme="majorHAnsi"/>
          <w:b/>
          <w:bCs/>
          <w:i w:val="0"/>
          <w:iCs w:val="0"/>
          <w:noProof/>
          <w:color w:val="538135" w:themeColor="accent6" w:themeShade="BF"/>
          <w:sz w:val="24"/>
          <w:szCs w:val="24"/>
          <w:lang w:val="el-GR"/>
        </w:rPr>
        <w:t>1</w:t>
      </w:r>
      <w:r w:rsidRPr="00E33221">
        <w:rPr>
          <w:rFonts w:asciiTheme="majorHAnsi" w:hAnsiTheme="majorHAnsi" w:cstheme="majorHAnsi"/>
          <w:b/>
          <w:bCs/>
          <w:i w:val="0"/>
          <w:iCs w:val="0"/>
          <w:color w:val="538135" w:themeColor="accent6" w:themeShade="BF"/>
          <w:sz w:val="24"/>
          <w:szCs w:val="24"/>
        </w:rPr>
        <w:fldChar w:fldCharType="end"/>
      </w:r>
      <w:r w:rsidRPr="00E33221">
        <w:rPr>
          <w:rFonts w:asciiTheme="majorHAnsi" w:hAnsiTheme="majorHAnsi" w:cstheme="majorHAnsi"/>
          <w:b/>
          <w:bCs/>
          <w:i w:val="0"/>
          <w:iCs w:val="0"/>
          <w:color w:val="538135" w:themeColor="accent6" w:themeShade="BF"/>
          <w:sz w:val="24"/>
          <w:szCs w:val="24"/>
          <w:lang w:val="el-GR"/>
        </w:rPr>
        <w:t>. Ποσοστό πληθυσμού (16+) σε κίνδυνο φτώχειας ή σε κοινωνικό αποκλεισμό (Europe 2030) και κατάσταση αναπηρίας</w:t>
      </w:r>
      <w:bookmarkEnd w:id="11"/>
      <w:r w:rsidRPr="00E33221">
        <w:rPr>
          <w:rFonts w:asciiTheme="majorHAnsi" w:hAnsiTheme="majorHAnsi" w:cstheme="majorHAnsi"/>
          <w:b/>
          <w:bCs/>
          <w:i w:val="0"/>
          <w:iCs w:val="0"/>
          <w:color w:val="538135" w:themeColor="accent6" w:themeShade="BF"/>
          <w:sz w:val="24"/>
          <w:szCs w:val="24"/>
          <w:lang w:val="el-GR"/>
        </w:rPr>
        <w:t xml:space="preserve"> &amp; Χάσμα</w:t>
      </w:r>
      <w:bookmarkEnd w:id="12"/>
    </w:p>
    <w:p w14:paraId="7039788D" w14:textId="2904F6D2" w:rsidR="00CA7C8B" w:rsidRPr="00336DCA" w:rsidRDefault="00CA7C8B" w:rsidP="003677F5">
      <w:pPr>
        <w:rPr>
          <w:lang w:val="el-GR"/>
        </w:rPr>
      </w:pPr>
      <w:r>
        <w:rPr>
          <w:noProof/>
        </w:rPr>
        <w:drawing>
          <wp:inline distT="0" distB="0" distL="0" distR="0" wp14:anchorId="3E7D9514" wp14:editId="734D9543">
            <wp:extent cx="5579745" cy="4165600"/>
            <wp:effectExtent l="0" t="0" r="1905" b="6350"/>
            <wp:docPr id="880929551" name="Chart 1" descr="2015: 31,7 Χωρίς αναπηρία 16 ετών και άνω, 33,1 Σοβαρή αναπηρία 16 ετών και άνω, 1,4 Χάσμα φτώχειας και κοινωνικού αποκλεισμού.&#10;&#10;2016: 32,3 Χωρίς αναπηρία 16 ετών και άνω, 31,4 Σοβαρή αναπηρία 16 ετών και άνω, -0,9 Χάσμα φτώχειας και κοινωνικού αποκλεισμού. &#10;&#10;2017: 31,3 Χωρίς αναπηρία 16 ετών και άνω, 34,4 Σοβαρή αναπηρία 16 ετών και άνω, 3,1 Χάσμα φτώχειας και κοινωνικού αποκλεισμού.&#10;&#10;2018: 29,3 Χωρίς αναπηρία 16 ετών και άνω, 34,5 Σοβαρή αναπηρία 16 ετών και άνω, 5,2 Χάσμα φτώχειας και κοινωνικού αποκλεισμού.&#10;&#10;2019: 27,6 Χωρίς αναπηρία 16 ετών και άνω, 36,1 Σοβαρή αναπηρία 16 ετών και άνω, 8,5 Χάσμα φτώχειας και κοινωνικού αποκλεισμού.&#10;&#10;2020: 26,2 Χωρίς αναπηρία 16 ετών και άνω, 31,9 Σοβαρή αναπηρία 16 ετών και άνω, 5,7 Χάσμα φτώχειας και κοινωνικού αποκλεισμού.&#10;&#10;2021: 27,4 Χωρίς αναπηρία 16 ετών και άνω, 32,2 Σοβαρή αναπηρία 16 ετών και άνω, 4,8 Χάσμα φτώχειας και κοινωνικού αποκλεισμού.&#10;&#10;2022: 25,1 Χωρίς αναπηρία 16 ετών και άνω, 35,1 Σοβαρή αναπηρία 16 ετών και άνω, 10 Χάσμα φτώχειας και κοινωνικού αποκλεισμού.&#10;&#10;2023: 24,2 Χωρίς αναπηρία 16 ετών και άνω, 34,1 Σοβαρή αναπηρία 16 ετών και άνω, 9,9 Χάσμα φτώχειας και κοινωνικού αποκλεισμού.">
              <a:extLst xmlns:a="http://schemas.openxmlformats.org/drawingml/2006/main">
                <a:ext uri="{FF2B5EF4-FFF2-40B4-BE49-F238E27FC236}">
                  <a16:creationId xmlns:a16="http://schemas.microsoft.com/office/drawing/2014/main" id="{87D6A0DA-84DC-4416-B84A-2039A79F8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9"/>
    <w:p w14:paraId="1DC7555F" w14:textId="77777777" w:rsidR="003677F5" w:rsidRPr="00CA7C8B" w:rsidRDefault="003677F5" w:rsidP="003D3956">
      <w:pPr>
        <w:pStyle w:val="a4"/>
        <w:spacing w:after="240"/>
        <w:ind w:left="142" w:right="282"/>
        <w:jc w:val="center"/>
        <w:rPr>
          <w:color w:val="538135" w:themeColor="accent6" w:themeShade="BF"/>
          <w:lang w:val="el-GR"/>
        </w:rPr>
      </w:pPr>
      <w:r w:rsidRPr="00CA7C8B">
        <w:rPr>
          <w:color w:val="538135" w:themeColor="accent6" w:themeShade="BF"/>
          <w:lang w:val="el-GR"/>
        </w:rPr>
        <w:t xml:space="preserve">Πηγή δεδομένων: </w:t>
      </w:r>
      <w:r w:rsidRPr="00CA7C8B">
        <w:rPr>
          <w:color w:val="538135" w:themeColor="accent6" w:themeShade="BF"/>
        </w:rPr>
        <w:t>Eurostat</w:t>
      </w:r>
      <w:r w:rsidRPr="00CA7C8B">
        <w:rPr>
          <w:color w:val="538135" w:themeColor="accent6" w:themeShade="BF"/>
          <w:lang w:val="el-GR"/>
        </w:rPr>
        <w:t xml:space="preserve"> </w:t>
      </w:r>
      <w:r w:rsidRPr="00CA7C8B">
        <w:rPr>
          <w:color w:val="538135" w:themeColor="accent6" w:themeShade="BF"/>
        </w:rPr>
        <w:t>database</w:t>
      </w:r>
      <w:r w:rsidRPr="00CA7C8B">
        <w:rPr>
          <w:color w:val="538135" w:themeColor="accent6" w:themeShade="BF"/>
          <w:lang w:val="el-GR"/>
        </w:rPr>
        <w:t xml:space="preserve">, </w:t>
      </w:r>
      <w:r w:rsidRPr="00CA7C8B">
        <w:rPr>
          <w:color w:val="538135" w:themeColor="accent6" w:themeShade="BF"/>
        </w:rPr>
        <w:t>EU</w:t>
      </w:r>
      <w:r w:rsidRPr="00CA7C8B">
        <w:rPr>
          <w:color w:val="538135" w:themeColor="accent6" w:themeShade="BF"/>
          <w:lang w:val="el-GR"/>
        </w:rPr>
        <w:t>-</w:t>
      </w:r>
      <w:r w:rsidRPr="00CA7C8B">
        <w:rPr>
          <w:color w:val="538135" w:themeColor="accent6" w:themeShade="BF"/>
        </w:rPr>
        <w:t>SILC</w:t>
      </w:r>
      <w:r w:rsidRPr="00CA7C8B">
        <w:rPr>
          <w:color w:val="538135" w:themeColor="accent6" w:themeShade="BF"/>
          <w:lang w:val="el-GR"/>
        </w:rPr>
        <w:t xml:space="preserve"> (</w:t>
      </w:r>
      <w:r w:rsidRPr="00CA7C8B">
        <w:rPr>
          <w:color w:val="538135" w:themeColor="accent6" w:themeShade="BF"/>
        </w:rPr>
        <w:t>Statistics</w:t>
      </w:r>
      <w:r w:rsidRPr="00CA7C8B">
        <w:rPr>
          <w:color w:val="538135" w:themeColor="accent6" w:themeShade="BF"/>
          <w:lang w:val="el-GR"/>
        </w:rPr>
        <w:t xml:space="preserve"> </w:t>
      </w:r>
      <w:r w:rsidRPr="00CA7C8B">
        <w:rPr>
          <w:color w:val="538135" w:themeColor="accent6" w:themeShade="BF"/>
        </w:rPr>
        <w:t>on</w:t>
      </w:r>
      <w:r w:rsidRPr="00CA7C8B">
        <w:rPr>
          <w:color w:val="538135" w:themeColor="accent6" w:themeShade="BF"/>
          <w:lang w:val="el-GR"/>
        </w:rPr>
        <w:t xml:space="preserve"> </w:t>
      </w:r>
      <w:r w:rsidRPr="00CA7C8B">
        <w:rPr>
          <w:color w:val="538135" w:themeColor="accent6" w:themeShade="BF"/>
        </w:rPr>
        <w:t>Income</w:t>
      </w:r>
      <w:r w:rsidRPr="00CA7C8B">
        <w:rPr>
          <w:color w:val="538135" w:themeColor="accent6" w:themeShade="BF"/>
          <w:lang w:val="el-GR"/>
        </w:rPr>
        <w:t xml:space="preserve"> </w:t>
      </w:r>
      <w:r w:rsidRPr="00CA7C8B">
        <w:rPr>
          <w:color w:val="538135" w:themeColor="accent6" w:themeShade="BF"/>
        </w:rPr>
        <w:t>and</w:t>
      </w:r>
      <w:r w:rsidRPr="00CA7C8B">
        <w:rPr>
          <w:color w:val="538135" w:themeColor="accent6" w:themeShade="BF"/>
          <w:lang w:val="el-GR"/>
        </w:rPr>
        <w:t xml:space="preserve"> </w:t>
      </w:r>
      <w:r w:rsidRPr="00CA7C8B">
        <w:rPr>
          <w:color w:val="538135" w:themeColor="accent6" w:themeShade="BF"/>
        </w:rPr>
        <w:t>Living</w:t>
      </w:r>
      <w:r w:rsidRPr="00CA7C8B">
        <w:rPr>
          <w:color w:val="538135" w:themeColor="accent6" w:themeShade="BF"/>
          <w:lang w:val="el-GR"/>
        </w:rPr>
        <w:t xml:space="preserve"> </w:t>
      </w:r>
      <w:r w:rsidRPr="00CA7C8B">
        <w:rPr>
          <w:color w:val="538135" w:themeColor="accent6" w:themeShade="BF"/>
        </w:rPr>
        <w:t>Conditions</w:t>
      </w:r>
      <w:r w:rsidRPr="00CA7C8B">
        <w:rPr>
          <w:color w:val="538135" w:themeColor="accent6" w:themeShade="BF"/>
          <w:lang w:val="el-GR"/>
        </w:rPr>
        <w:t>)</w:t>
      </w:r>
      <w:r w:rsidRPr="00CA7C8B">
        <w:rPr>
          <w:color w:val="538135" w:themeColor="accent6" w:themeShade="BF"/>
          <w:lang w:val="el-GR"/>
        </w:rPr>
        <w:br/>
        <w:t>Επεξεργασία δεδομένων: Παρατηρητήριο Θεμάτων Αναπηρίας</w:t>
      </w:r>
    </w:p>
    <w:p w14:paraId="0322DF14" w14:textId="77777777" w:rsidR="003677F5" w:rsidRPr="00DF4BA7" w:rsidRDefault="003677F5" w:rsidP="003677F5">
      <w:pPr>
        <w:pStyle w:val="af2"/>
        <w:spacing w:after="200"/>
        <w:ind w:left="0"/>
        <w:contextualSpacing w:val="0"/>
        <w:jc w:val="both"/>
        <w:rPr>
          <w:sz w:val="24"/>
          <w:szCs w:val="24"/>
          <w:lang w:val="el-GR"/>
        </w:rPr>
      </w:pPr>
      <w:r w:rsidRPr="00DF4BA7">
        <w:rPr>
          <w:sz w:val="24"/>
          <w:szCs w:val="24"/>
          <w:lang w:val="el-GR"/>
        </w:rPr>
        <w:t xml:space="preserve">Συγκρίνοντας τα ποσοστά φτώχειας και αποκλεισμού στον πληθυσμό με αναπηρία και στον πληθυσμό χωρίς αναπηρία κατά το διάστημα αναφοράς (2015-2023), διαπιστώνουμε ότι: </w:t>
      </w:r>
    </w:p>
    <w:p w14:paraId="6BD4B344" w14:textId="62922D08" w:rsidR="003677F5" w:rsidRPr="00DF4BA7" w:rsidRDefault="003677F5" w:rsidP="003677F5">
      <w:pPr>
        <w:pStyle w:val="af2"/>
        <w:spacing w:after="200"/>
        <w:ind w:left="0"/>
        <w:contextualSpacing w:val="0"/>
        <w:jc w:val="both"/>
        <w:rPr>
          <w:sz w:val="24"/>
          <w:szCs w:val="24"/>
          <w:lang w:val="el-GR"/>
        </w:rPr>
      </w:pPr>
      <w:bookmarkStart w:id="13" w:name="_Hlk184644878"/>
      <w:r w:rsidRPr="00DF4BA7">
        <w:rPr>
          <w:sz w:val="24"/>
          <w:szCs w:val="24"/>
          <w:lang w:val="el-GR"/>
        </w:rPr>
        <w:t>Παρότι καταγράφεται τάση αποκλιμάκωσης του φαινομένου στον πληθυσμό χωρίς αναπηρία, αυτή η τάση δεν ακολουθείται στον πληθυσμό των ατόμων με αναπηρία.</w:t>
      </w:r>
    </w:p>
    <w:bookmarkEnd w:id="13"/>
    <w:p w14:paraId="59EE2FF7" w14:textId="40C0469F" w:rsidR="003677F5" w:rsidRPr="00DF4BA7" w:rsidRDefault="003677F5" w:rsidP="003677F5">
      <w:pPr>
        <w:pStyle w:val="af2"/>
        <w:spacing w:after="200"/>
        <w:ind w:left="0"/>
        <w:contextualSpacing w:val="0"/>
        <w:jc w:val="both"/>
        <w:rPr>
          <w:sz w:val="24"/>
          <w:szCs w:val="24"/>
          <w:lang w:val="el-GR"/>
        </w:rPr>
      </w:pPr>
      <w:r w:rsidRPr="00DF4BA7">
        <w:rPr>
          <w:sz w:val="24"/>
          <w:szCs w:val="24"/>
          <w:lang w:val="el-GR"/>
        </w:rPr>
        <w:lastRenderedPageBreak/>
        <w:t>Μεταξύ των ετών 2015 και 2023, καταγράφονται αθροιστικά οι εξής μεταβολές: το ποσοστό των φτωχών και αποκλεισμένων ατόμων με αναπηρία αυξ</w:t>
      </w:r>
      <w:r w:rsidR="00606B0F">
        <w:rPr>
          <w:sz w:val="24"/>
          <w:szCs w:val="24"/>
          <w:lang w:val="el-GR"/>
        </w:rPr>
        <w:t>άνεται</w:t>
      </w:r>
      <w:r w:rsidRPr="00DF4BA7">
        <w:rPr>
          <w:sz w:val="24"/>
          <w:szCs w:val="24"/>
          <w:lang w:val="el-GR"/>
        </w:rPr>
        <w:t xml:space="preserve"> κατά 1 μονάδα, ενώ το ποσοστό των φτωχών και αποκλεισμένων πολιτών χωρίς αναπηρία κατά το ίδιο διάστημα μειώ</w:t>
      </w:r>
      <w:r w:rsidR="00606B0F">
        <w:rPr>
          <w:sz w:val="24"/>
          <w:szCs w:val="24"/>
          <w:lang w:val="el-GR"/>
        </w:rPr>
        <w:t>νεται</w:t>
      </w:r>
      <w:r w:rsidRPr="00DF4BA7">
        <w:rPr>
          <w:sz w:val="24"/>
          <w:szCs w:val="24"/>
          <w:lang w:val="el-GR"/>
        </w:rPr>
        <w:t xml:space="preserve"> 7,5 ποσοστιαίες μονάδες. </w:t>
      </w:r>
      <w:r w:rsidR="00606B0F">
        <w:rPr>
          <w:sz w:val="24"/>
          <w:szCs w:val="24"/>
          <w:lang w:val="el-GR"/>
        </w:rPr>
        <w:t>Το εύρημα αυτό επιβεβαιώνει την επίμονη του φαινομένου της φτώχειας στον πληθυσμό των ατόμων με αναπηρία.</w:t>
      </w:r>
    </w:p>
    <w:p w14:paraId="21B2F5AB" w14:textId="04BC8F07" w:rsidR="003677F5" w:rsidRPr="00DF4BA7" w:rsidRDefault="003677F5" w:rsidP="003677F5">
      <w:pPr>
        <w:pStyle w:val="af2"/>
        <w:spacing w:after="200"/>
        <w:ind w:left="0"/>
        <w:contextualSpacing w:val="0"/>
        <w:jc w:val="both"/>
        <w:rPr>
          <w:sz w:val="24"/>
          <w:szCs w:val="24"/>
          <w:lang w:val="el-GR"/>
        </w:rPr>
      </w:pPr>
      <w:bookmarkStart w:id="14" w:name="_Hlk184645058"/>
      <w:r w:rsidRPr="00DF4BA7">
        <w:rPr>
          <w:sz w:val="24"/>
          <w:szCs w:val="24"/>
          <w:lang w:val="el-GR"/>
        </w:rPr>
        <w:t>Η εικόνα αυτή αποτυπώνεται και στον δείκτη «Χάσμα φτώχειας και κοινωνικού αποκλεισμού των ατόμων με σοβαρή αναπηρία»</w:t>
      </w:r>
      <w:r w:rsidR="005B098B">
        <w:rPr>
          <w:rStyle w:val="a9"/>
          <w:sz w:val="24"/>
          <w:szCs w:val="24"/>
          <w:lang w:val="el-GR"/>
        </w:rPr>
        <w:footnoteReference w:id="5"/>
      </w:r>
      <w:r w:rsidRPr="00DF4BA7">
        <w:rPr>
          <w:sz w:val="24"/>
          <w:szCs w:val="24"/>
          <w:lang w:val="el-GR"/>
        </w:rPr>
        <w:t xml:space="preserve">, ο οποίος ακολουθεί αυξητική τάση </w:t>
      </w:r>
      <w:r w:rsidR="000329A2">
        <w:rPr>
          <w:sz w:val="24"/>
          <w:szCs w:val="24"/>
          <w:lang w:val="el-GR"/>
        </w:rPr>
        <w:t>καταδεικνύοντας</w:t>
      </w:r>
      <w:r w:rsidRPr="00DF4BA7">
        <w:rPr>
          <w:sz w:val="24"/>
          <w:szCs w:val="24"/>
          <w:lang w:val="el-GR"/>
        </w:rPr>
        <w:t xml:space="preserve"> τη διεύρυνση των ανισοτήτων που αντιμετωπίζουν τα άτομα με αναπηρία. </w:t>
      </w:r>
    </w:p>
    <w:bookmarkEnd w:id="14"/>
    <w:p w14:paraId="698759EA" w14:textId="6F236AC0" w:rsidR="003677F5" w:rsidRPr="00C36133" w:rsidRDefault="00D57134" w:rsidP="003677F5">
      <w:pPr>
        <w:pStyle w:val="af2"/>
        <w:spacing w:after="200"/>
        <w:ind w:left="0"/>
        <w:contextualSpacing w:val="0"/>
        <w:jc w:val="both"/>
        <w:rPr>
          <w:sz w:val="24"/>
          <w:szCs w:val="24"/>
          <w:lang w:val="el-GR"/>
        </w:rPr>
      </w:pPr>
      <w:r>
        <w:rPr>
          <w:sz w:val="24"/>
          <w:szCs w:val="24"/>
          <w:lang w:val="el-GR"/>
        </w:rPr>
        <w:t>Επίσης, όπ</w:t>
      </w:r>
      <w:r w:rsidR="003677F5" w:rsidRPr="00C36133">
        <w:rPr>
          <w:sz w:val="24"/>
          <w:szCs w:val="24"/>
          <w:lang w:val="el-GR"/>
        </w:rPr>
        <w:t xml:space="preserve">ως έχει δειχθεί </w:t>
      </w:r>
      <w:r>
        <w:rPr>
          <w:sz w:val="24"/>
          <w:szCs w:val="24"/>
          <w:lang w:val="el-GR"/>
        </w:rPr>
        <w:t xml:space="preserve">και </w:t>
      </w:r>
      <w:r w:rsidR="003677F5" w:rsidRPr="00C36133">
        <w:rPr>
          <w:sz w:val="24"/>
          <w:szCs w:val="24"/>
          <w:lang w:val="el-GR"/>
        </w:rPr>
        <w:t xml:space="preserve">σε προηγούμενα Δελτία, η έκταση του προβλήματος της φτώχειας και του αποκλεισμού, αποκαλύπτεται </w:t>
      </w:r>
      <w:r w:rsidR="004F3964">
        <w:rPr>
          <w:sz w:val="24"/>
          <w:szCs w:val="24"/>
          <w:lang w:val="el-GR"/>
        </w:rPr>
        <w:t xml:space="preserve">περισσότερο σοβαρή και εκτεταμένη </w:t>
      </w:r>
      <w:r w:rsidR="003677F5" w:rsidRPr="00C36133">
        <w:rPr>
          <w:sz w:val="24"/>
          <w:szCs w:val="24"/>
          <w:lang w:val="el-GR"/>
        </w:rPr>
        <w:t xml:space="preserve">λαμβάνοντας υπόψη </w:t>
      </w:r>
      <w:r w:rsidR="004F3964">
        <w:rPr>
          <w:sz w:val="24"/>
          <w:szCs w:val="24"/>
          <w:lang w:val="el-GR"/>
        </w:rPr>
        <w:t>την</w:t>
      </w:r>
      <w:r w:rsidR="003677F5" w:rsidRPr="00C36133">
        <w:rPr>
          <w:sz w:val="24"/>
          <w:szCs w:val="24"/>
          <w:lang w:val="el-GR"/>
        </w:rPr>
        <w:t xml:space="preserve"> ηλικία</w:t>
      </w:r>
      <w:r w:rsidR="004F3964">
        <w:rPr>
          <w:sz w:val="24"/>
          <w:szCs w:val="24"/>
          <w:lang w:val="el-GR"/>
        </w:rPr>
        <w:t>,</w:t>
      </w:r>
      <w:r w:rsidR="003677F5" w:rsidRPr="00C36133">
        <w:rPr>
          <w:sz w:val="24"/>
          <w:szCs w:val="24"/>
          <w:lang w:val="el-GR"/>
        </w:rPr>
        <w:t xml:space="preserve"> και ειδικότερα εστιάζοντας στις παραγωγικές ηλικίες</w:t>
      </w:r>
      <w:r w:rsidR="004F3964">
        <w:rPr>
          <w:sz w:val="24"/>
          <w:szCs w:val="24"/>
          <w:lang w:val="el-GR"/>
        </w:rPr>
        <w:t xml:space="preserve"> 16-64 ετών</w:t>
      </w:r>
      <w:r w:rsidR="003677F5" w:rsidRPr="00C36133">
        <w:rPr>
          <w:sz w:val="24"/>
          <w:szCs w:val="24"/>
          <w:lang w:val="el-GR"/>
        </w:rPr>
        <w:t>.</w:t>
      </w:r>
    </w:p>
    <w:p w14:paraId="4B394C3D" w14:textId="5ACF41BB" w:rsidR="003677F5" w:rsidRDefault="003677F5" w:rsidP="003677F5">
      <w:pPr>
        <w:pStyle w:val="af2"/>
        <w:spacing w:after="200"/>
        <w:ind w:left="0"/>
        <w:contextualSpacing w:val="0"/>
        <w:jc w:val="both"/>
        <w:rPr>
          <w:sz w:val="24"/>
          <w:szCs w:val="24"/>
          <w:lang w:val="el-GR"/>
        </w:rPr>
      </w:pPr>
      <w:r w:rsidRPr="00C36133">
        <w:rPr>
          <w:sz w:val="24"/>
          <w:szCs w:val="24"/>
          <w:lang w:val="el-GR"/>
        </w:rPr>
        <w:t>Στο γράφημα 2 αποτυπώνονται τα ποσοστά πληθυσμού με σοβαρή αναπηρία σε κίνδυνο φτώχειας ή</w:t>
      </w:r>
      <w:r w:rsidR="008D0CE0">
        <w:rPr>
          <w:sz w:val="24"/>
          <w:szCs w:val="24"/>
          <w:lang w:val="el-GR"/>
        </w:rPr>
        <w:t xml:space="preserve">/και </w:t>
      </w:r>
      <w:r w:rsidRPr="00C36133">
        <w:rPr>
          <w:sz w:val="24"/>
          <w:szCs w:val="24"/>
          <w:lang w:val="el-GR"/>
        </w:rPr>
        <w:t>σε κοινωνικό αποκλεισμό για τα έτη 2015-2023, χωρισμένα στις ηλικιακές ομάδες «16-64 ετών» και «65 ετών και άνω».</w:t>
      </w:r>
    </w:p>
    <w:p w14:paraId="25EAF5E9" w14:textId="425745AA" w:rsidR="003677F5" w:rsidRPr="007E4A61" w:rsidRDefault="003677F5" w:rsidP="003677F5">
      <w:pPr>
        <w:pStyle w:val="a4"/>
        <w:ind w:left="567" w:right="565"/>
        <w:jc w:val="center"/>
        <w:rPr>
          <w:rFonts w:asciiTheme="majorHAnsi" w:hAnsiTheme="majorHAnsi" w:cstheme="majorHAnsi"/>
          <w:b/>
          <w:bCs/>
          <w:i w:val="0"/>
          <w:iCs w:val="0"/>
          <w:color w:val="538135" w:themeColor="accent6" w:themeShade="BF"/>
          <w:sz w:val="24"/>
          <w:szCs w:val="24"/>
          <w:lang w:val="el-GR"/>
        </w:rPr>
      </w:pPr>
      <w:bookmarkStart w:id="15" w:name="_Toc135310561"/>
      <w:bookmarkStart w:id="16" w:name="_Toc185586645"/>
      <w:r w:rsidRPr="007E4A61">
        <w:rPr>
          <w:rFonts w:asciiTheme="majorHAnsi" w:hAnsiTheme="majorHAnsi" w:cstheme="majorHAnsi"/>
          <w:b/>
          <w:bCs/>
          <w:i w:val="0"/>
          <w:iCs w:val="0"/>
          <w:color w:val="538135" w:themeColor="accent6" w:themeShade="BF"/>
          <w:sz w:val="24"/>
          <w:szCs w:val="24"/>
          <w:lang w:val="el-GR"/>
        </w:rPr>
        <w:t xml:space="preserve">Γράφημα </w:t>
      </w:r>
      <w:r w:rsidRPr="007E4A61">
        <w:rPr>
          <w:rFonts w:asciiTheme="majorHAnsi" w:hAnsiTheme="majorHAnsi" w:cstheme="majorHAnsi"/>
          <w:b/>
          <w:bCs/>
          <w:i w:val="0"/>
          <w:iCs w:val="0"/>
          <w:color w:val="538135" w:themeColor="accent6" w:themeShade="BF"/>
          <w:sz w:val="24"/>
          <w:szCs w:val="24"/>
        </w:rPr>
        <w:fldChar w:fldCharType="begin"/>
      </w:r>
      <w:r w:rsidRPr="007E4A61">
        <w:rPr>
          <w:rFonts w:asciiTheme="majorHAnsi" w:hAnsiTheme="majorHAnsi" w:cstheme="majorHAnsi"/>
          <w:b/>
          <w:bCs/>
          <w:i w:val="0"/>
          <w:iCs w:val="0"/>
          <w:color w:val="538135" w:themeColor="accent6" w:themeShade="BF"/>
          <w:sz w:val="24"/>
          <w:szCs w:val="24"/>
          <w:lang w:val="el-GR"/>
        </w:rPr>
        <w:instrText xml:space="preserve"> </w:instrText>
      </w:r>
      <w:r w:rsidRPr="007E4A61">
        <w:rPr>
          <w:rFonts w:asciiTheme="majorHAnsi" w:hAnsiTheme="majorHAnsi" w:cstheme="majorHAnsi"/>
          <w:b/>
          <w:bCs/>
          <w:i w:val="0"/>
          <w:iCs w:val="0"/>
          <w:color w:val="538135" w:themeColor="accent6" w:themeShade="BF"/>
          <w:sz w:val="24"/>
          <w:szCs w:val="24"/>
        </w:rPr>
        <w:instrText>SEQ</w:instrText>
      </w:r>
      <w:r w:rsidRPr="007E4A61">
        <w:rPr>
          <w:rFonts w:asciiTheme="majorHAnsi" w:hAnsiTheme="majorHAnsi" w:cstheme="majorHAnsi"/>
          <w:b/>
          <w:bCs/>
          <w:i w:val="0"/>
          <w:iCs w:val="0"/>
          <w:color w:val="538135" w:themeColor="accent6" w:themeShade="BF"/>
          <w:sz w:val="24"/>
          <w:szCs w:val="24"/>
          <w:lang w:val="el-GR"/>
        </w:rPr>
        <w:instrText xml:space="preserve"> Γράφημα \* </w:instrText>
      </w:r>
      <w:r w:rsidRPr="007E4A61">
        <w:rPr>
          <w:rFonts w:asciiTheme="majorHAnsi" w:hAnsiTheme="majorHAnsi" w:cstheme="majorHAnsi"/>
          <w:b/>
          <w:bCs/>
          <w:i w:val="0"/>
          <w:iCs w:val="0"/>
          <w:color w:val="538135" w:themeColor="accent6" w:themeShade="BF"/>
          <w:sz w:val="24"/>
          <w:szCs w:val="24"/>
        </w:rPr>
        <w:instrText>ARABIC</w:instrText>
      </w:r>
      <w:r w:rsidRPr="007E4A61">
        <w:rPr>
          <w:rFonts w:asciiTheme="majorHAnsi" w:hAnsiTheme="majorHAnsi" w:cstheme="majorHAnsi"/>
          <w:b/>
          <w:bCs/>
          <w:i w:val="0"/>
          <w:iCs w:val="0"/>
          <w:color w:val="538135" w:themeColor="accent6" w:themeShade="BF"/>
          <w:sz w:val="24"/>
          <w:szCs w:val="24"/>
          <w:lang w:val="el-GR"/>
        </w:rPr>
        <w:instrText xml:space="preserve"> </w:instrText>
      </w:r>
      <w:r w:rsidRPr="007E4A61">
        <w:rPr>
          <w:rFonts w:asciiTheme="majorHAnsi" w:hAnsiTheme="majorHAnsi" w:cstheme="majorHAnsi"/>
          <w:b/>
          <w:bCs/>
          <w:i w:val="0"/>
          <w:iCs w:val="0"/>
          <w:color w:val="538135" w:themeColor="accent6" w:themeShade="BF"/>
          <w:sz w:val="24"/>
          <w:szCs w:val="24"/>
        </w:rPr>
        <w:fldChar w:fldCharType="separate"/>
      </w:r>
      <w:r w:rsidR="00686E3C" w:rsidRPr="007E4A61">
        <w:rPr>
          <w:rFonts w:asciiTheme="majorHAnsi" w:hAnsiTheme="majorHAnsi" w:cstheme="majorHAnsi"/>
          <w:b/>
          <w:bCs/>
          <w:i w:val="0"/>
          <w:iCs w:val="0"/>
          <w:noProof/>
          <w:color w:val="538135" w:themeColor="accent6" w:themeShade="BF"/>
          <w:sz w:val="24"/>
          <w:szCs w:val="24"/>
          <w:lang w:val="el-GR"/>
        </w:rPr>
        <w:t>2</w:t>
      </w:r>
      <w:r w:rsidRPr="007E4A61">
        <w:rPr>
          <w:rFonts w:asciiTheme="majorHAnsi" w:hAnsiTheme="majorHAnsi" w:cstheme="majorHAnsi"/>
          <w:b/>
          <w:bCs/>
          <w:i w:val="0"/>
          <w:iCs w:val="0"/>
          <w:color w:val="538135" w:themeColor="accent6" w:themeShade="BF"/>
          <w:sz w:val="24"/>
          <w:szCs w:val="24"/>
        </w:rPr>
        <w:fldChar w:fldCharType="end"/>
      </w:r>
      <w:r w:rsidRPr="007E4A61">
        <w:rPr>
          <w:rFonts w:asciiTheme="majorHAnsi" w:hAnsiTheme="majorHAnsi" w:cstheme="majorHAnsi"/>
          <w:b/>
          <w:bCs/>
          <w:i w:val="0"/>
          <w:iCs w:val="0"/>
          <w:color w:val="538135" w:themeColor="accent6" w:themeShade="BF"/>
          <w:sz w:val="24"/>
          <w:szCs w:val="24"/>
          <w:lang w:val="el-GR"/>
        </w:rPr>
        <w:t>. Ποσοστό πληθυσμού με σοβαρή αναπηρία σε κίνδυνο φτώχειας ή σε κοινωνικό αποκλεισμό (Europe 2030) και ομάδα ηλικίας</w:t>
      </w:r>
      <w:bookmarkEnd w:id="15"/>
      <w:bookmarkEnd w:id="16"/>
    </w:p>
    <w:p w14:paraId="4BEDBBC6" w14:textId="5A27F4D4" w:rsidR="00CA7C8B" w:rsidRPr="00CA7C8B" w:rsidRDefault="00CA7C8B" w:rsidP="00CA7C8B">
      <w:pPr>
        <w:rPr>
          <w:lang w:val="el-GR"/>
        </w:rPr>
      </w:pPr>
      <w:r>
        <w:rPr>
          <w:noProof/>
        </w:rPr>
        <w:drawing>
          <wp:inline distT="0" distB="0" distL="0" distR="0" wp14:anchorId="49E8567D" wp14:editId="482161A0">
            <wp:extent cx="5579745" cy="3141345"/>
            <wp:effectExtent l="0" t="0" r="1905" b="1905"/>
            <wp:docPr id="938436519" name="Chart 1" descr="2015: 52,0 Σοβαρή αναπηρία 16 έως 64 ετών, 22,4 Σοβαρή αναπηρία 65 και άνω.&#10;&#10;2016: 53,2 Σοβαρή αναπηρία 16 έως 64 ετών, 19,3 Σοβαρή αναπηρία 65 και άνω.&#10;&#10;2017: 54,6 Σοβαρή αναπηρία 16 έως 64 ετών, 23 Σοβαρή αναπηρία 65 και άνω.&#10;&#10;2018: 57,4 Σοβαρή αναπηρία 16 έως 64 ετών, 23,4 Σοβαρή αναπηρία 65 και άνω.&#10;&#10;2019: 56,0 Σοβαρή αναπηρία 16 έως 64 ετών, 25,6 Σοβαρή αναπηρία 65 και άνω.&#10;&#10;2020: 49,8 Σοβαρή αναπηρία 16 έως 64 ετών, 23,6 Σοβαρή αναπηρία 65 και άνω.&#10;&#10;2021: 50,6 Σοβαρή αναπηρία 16 έως 64 ετών, 22,7 Σοβαρή αναπηρία 65 και άνω.&#10;&#10;2022: 50,7 Σοβαρή αναπηρία 16 έως 64 ετών, 27,4 Σοβαρή αναπηρία 65 και άνω.&#10;&#10;2023: 47,9 Σοβαρή αναπηρία 16 έως 64 ετών, 27,8 Σοβαρή αναπηρία 65 και άνω.">
              <a:extLst xmlns:a="http://schemas.openxmlformats.org/drawingml/2006/main">
                <a:ext uri="{FF2B5EF4-FFF2-40B4-BE49-F238E27FC236}">
                  <a16:creationId xmlns:a16="http://schemas.microsoft.com/office/drawing/2014/main" id="{F7D5F62A-3026-4F9B-B8AD-54A24F7DE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4CE1D3" w14:textId="77777777" w:rsidR="00CA7C8B" w:rsidRPr="00CA7C8B" w:rsidRDefault="00CA7C8B" w:rsidP="003D3956">
      <w:pPr>
        <w:pStyle w:val="a4"/>
        <w:spacing w:after="240"/>
        <w:ind w:left="142" w:right="282"/>
        <w:jc w:val="center"/>
        <w:rPr>
          <w:color w:val="538135" w:themeColor="accent6" w:themeShade="BF"/>
          <w:lang w:val="el-GR"/>
        </w:rPr>
      </w:pPr>
      <w:r w:rsidRPr="00CA7C8B">
        <w:rPr>
          <w:color w:val="538135" w:themeColor="accent6" w:themeShade="BF"/>
          <w:lang w:val="el-GR"/>
        </w:rPr>
        <w:t xml:space="preserve">Πηγή δεδομένων: </w:t>
      </w:r>
      <w:r w:rsidRPr="00CA7C8B">
        <w:rPr>
          <w:color w:val="538135" w:themeColor="accent6" w:themeShade="BF"/>
          <w:lang w:val="en-GB"/>
        </w:rPr>
        <w:t>Eurostat</w:t>
      </w:r>
      <w:r w:rsidRPr="000655AA">
        <w:rPr>
          <w:color w:val="538135" w:themeColor="accent6" w:themeShade="BF"/>
          <w:lang w:val="el-GR"/>
        </w:rPr>
        <w:t xml:space="preserve"> </w:t>
      </w:r>
      <w:r w:rsidRPr="00CA7C8B">
        <w:rPr>
          <w:color w:val="538135" w:themeColor="accent6" w:themeShade="BF"/>
          <w:lang w:val="en-GB"/>
        </w:rPr>
        <w:t>database</w:t>
      </w:r>
      <w:r w:rsidRPr="000655AA">
        <w:rPr>
          <w:color w:val="538135" w:themeColor="accent6" w:themeShade="BF"/>
          <w:lang w:val="el-GR"/>
        </w:rPr>
        <w:t xml:space="preserve">, </w:t>
      </w:r>
      <w:r w:rsidRPr="00CA7C8B">
        <w:rPr>
          <w:color w:val="538135" w:themeColor="accent6" w:themeShade="BF"/>
          <w:lang w:val="en-GB"/>
        </w:rPr>
        <w:t>EU</w:t>
      </w:r>
      <w:r w:rsidRPr="000655AA">
        <w:rPr>
          <w:color w:val="538135" w:themeColor="accent6" w:themeShade="BF"/>
          <w:lang w:val="el-GR"/>
        </w:rPr>
        <w:t>-</w:t>
      </w:r>
      <w:r w:rsidRPr="00CA7C8B">
        <w:rPr>
          <w:color w:val="538135" w:themeColor="accent6" w:themeShade="BF"/>
          <w:lang w:val="en-GB"/>
        </w:rPr>
        <w:t>SILC</w:t>
      </w:r>
      <w:r w:rsidRPr="000655AA">
        <w:rPr>
          <w:color w:val="538135" w:themeColor="accent6" w:themeShade="BF"/>
          <w:lang w:val="el-GR"/>
        </w:rPr>
        <w:t xml:space="preserve"> (</w:t>
      </w:r>
      <w:r w:rsidRPr="00CA7C8B">
        <w:rPr>
          <w:color w:val="538135" w:themeColor="accent6" w:themeShade="BF"/>
          <w:lang w:val="en-GB"/>
        </w:rPr>
        <w:t>Statistics</w:t>
      </w:r>
      <w:r w:rsidRPr="000655AA">
        <w:rPr>
          <w:color w:val="538135" w:themeColor="accent6" w:themeShade="BF"/>
          <w:lang w:val="el-GR"/>
        </w:rPr>
        <w:t xml:space="preserve"> </w:t>
      </w:r>
      <w:r w:rsidRPr="00CA7C8B">
        <w:rPr>
          <w:color w:val="538135" w:themeColor="accent6" w:themeShade="BF"/>
          <w:lang w:val="en-GB"/>
        </w:rPr>
        <w:t>on</w:t>
      </w:r>
      <w:r w:rsidRPr="000655AA">
        <w:rPr>
          <w:color w:val="538135" w:themeColor="accent6" w:themeShade="BF"/>
          <w:lang w:val="el-GR"/>
        </w:rPr>
        <w:t xml:space="preserve"> </w:t>
      </w:r>
      <w:r w:rsidRPr="00CA7C8B">
        <w:rPr>
          <w:color w:val="538135" w:themeColor="accent6" w:themeShade="BF"/>
          <w:lang w:val="en-GB"/>
        </w:rPr>
        <w:t>Income</w:t>
      </w:r>
      <w:r w:rsidRPr="000655AA">
        <w:rPr>
          <w:color w:val="538135" w:themeColor="accent6" w:themeShade="BF"/>
          <w:lang w:val="el-GR"/>
        </w:rPr>
        <w:t xml:space="preserve"> </w:t>
      </w:r>
      <w:r w:rsidRPr="00CA7C8B">
        <w:rPr>
          <w:color w:val="538135" w:themeColor="accent6" w:themeShade="BF"/>
          <w:lang w:val="en-GB"/>
        </w:rPr>
        <w:t>and</w:t>
      </w:r>
      <w:r w:rsidRPr="000655AA">
        <w:rPr>
          <w:color w:val="538135" w:themeColor="accent6" w:themeShade="BF"/>
          <w:lang w:val="el-GR"/>
        </w:rPr>
        <w:t xml:space="preserve"> </w:t>
      </w:r>
      <w:r w:rsidRPr="00CA7C8B">
        <w:rPr>
          <w:color w:val="538135" w:themeColor="accent6" w:themeShade="BF"/>
          <w:lang w:val="en-GB"/>
        </w:rPr>
        <w:t>Living</w:t>
      </w:r>
      <w:r w:rsidRPr="000655AA">
        <w:rPr>
          <w:color w:val="538135" w:themeColor="accent6" w:themeShade="BF"/>
          <w:lang w:val="el-GR"/>
        </w:rPr>
        <w:t xml:space="preserve"> </w:t>
      </w:r>
      <w:r w:rsidRPr="00CA7C8B">
        <w:rPr>
          <w:color w:val="538135" w:themeColor="accent6" w:themeShade="BF"/>
          <w:lang w:val="en-GB"/>
        </w:rPr>
        <w:t>Conditions</w:t>
      </w:r>
      <w:r w:rsidRPr="000655AA">
        <w:rPr>
          <w:color w:val="538135" w:themeColor="accent6" w:themeShade="BF"/>
          <w:lang w:val="el-GR"/>
        </w:rPr>
        <w:t>)</w:t>
      </w:r>
      <w:r w:rsidRPr="00CA7C8B">
        <w:rPr>
          <w:color w:val="538135" w:themeColor="accent6" w:themeShade="BF"/>
          <w:lang w:val="el-GR"/>
        </w:rPr>
        <w:br/>
        <w:t>Επεξεργασία δεδομένων: Παρατηρητήριο Θεμάτων Αναπηρίας</w:t>
      </w:r>
    </w:p>
    <w:p w14:paraId="79ED9CC6" w14:textId="12845932" w:rsidR="003677F5" w:rsidRPr="00C36133" w:rsidRDefault="003677F5" w:rsidP="003677F5">
      <w:pPr>
        <w:pStyle w:val="af2"/>
        <w:spacing w:after="200"/>
        <w:ind w:left="0"/>
        <w:contextualSpacing w:val="0"/>
        <w:jc w:val="both"/>
        <w:rPr>
          <w:sz w:val="24"/>
          <w:szCs w:val="24"/>
          <w:lang w:val="el-GR"/>
        </w:rPr>
      </w:pPr>
      <w:bookmarkStart w:id="17" w:name="_Hlk184645347"/>
      <w:r w:rsidRPr="00DF059B">
        <w:rPr>
          <w:sz w:val="24"/>
          <w:szCs w:val="24"/>
          <w:lang w:val="el-GR"/>
        </w:rPr>
        <w:lastRenderedPageBreak/>
        <w:t>Το 2023, σε κίνδυνο φτώχειας ή</w:t>
      </w:r>
      <w:r w:rsidR="006934F4">
        <w:rPr>
          <w:sz w:val="24"/>
          <w:szCs w:val="24"/>
          <w:lang w:val="el-GR"/>
        </w:rPr>
        <w:t xml:space="preserve">/και </w:t>
      </w:r>
      <w:r w:rsidRPr="00DF059B">
        <w:rPr>
          <w:sz w:val="24"/>
          <w:szCs w:val="24"/>
          <w:lang w:val="el-GR"/>
        </w:rPr>
        <w:t xml:space="preserve">σε κοινωνικό αποκλεισμό διαβιούν το 47,9% των πολιτών με σοβαρή αναπηρία ηλικίας 16-64 ετών, και το 27,8% ηλικίας άνω των 65. Αναλύοντας τα δεδομένα ανά ηλικιακή ομάδα καταδεικνύεται ότι ο κίνδυνος της φτώχειας και του κοινωνικού αποκλεισμού είναι ιδιαίτερα αυξημένος στα άτομα με σοβαρή αναπηρία παραγωγικών ηλικιών, </w:t>
      </w:r>
      <w:bookmarkEnd w:id="17"/>
      <w:r w:rsidRPr="00DF059B">
        <w:rPr>
          <w:sz w:val="24"/>
          <w:szCs w:val="24"/>
          <w:lang w:val="el-GR"/>
        </w:rPr>
        <w:t>με την τιμή του δείκτη να κυμαίνεται</w:t>
      </w:r>
      <w:r w:rsidRPr="00C36133">
        <w:rPr>
          <w:sz w:val="24"/>
          <w:szCs w:val="24"/>
          <w:lang w:val="el-GR"/>
        </w:rPr>
        <w:t xml:space="preserve"> σε διπλάσιο επίπεδο από την αντίστοιχη στον πληθυσμό 65 και άνω.</w:t>
      </w:r>
    </w:p>
    <w:p w14:paraId="2BA45908" w14:textId="3033A364" w:rsidR="003677F5" w:rsidRPr="00DF059B" w:rsidRDefault="003677F5" w:rsidP="003677F5">
      <w:pPr>
        <w:pStyle w:val="af2"/>
        <w:ind w:left="0"/>
        <w:contextualSpacing w:val="0"/>
        <w:jc w:val="both"/>
        <w:rPr>
          <w:sz w:val="24"/>
          <w:szCs w:val="24"/>
          <w:lang w:val="el-GR"/>
        </w:rPr>
      </w:pPr>
      <w:r w:rsidRPr="00DF059B">
        <w:rPr>
          <w:sz w:val="24"/>
          <w:szCs w:val="24"/>
          <w:lang w:val="el-GR"/>
        </w:rPr>
        <w:t>Η διαχρονική εξέλιξη του δείκτη φανερώνει την επιμονή του φαινομένου της φτώχειας στα άτομα με αναπηρία που βρίσκονται στο ηλικιακό φάσμα 16-64 ετών.</w:t>
      </w:r>
      <w:bookmarkStart w:id="18" w:name="_Hlk134903477"/>
      <w:r w:rsidRPr="00DF059B">
        <w:rPr>
          <w:sz w:val="24"/>
          <w:szCs w:val="24"/>
          <w:lang w:val="el-GR"/>
        </w:rPr>
        <w:t xml:space="preserve"> Ωστόσο, εξίσου ανησυχητική είναι και η εικόνα που προκύπτει για τα άτομα με αναπηρία και ηλικία 65 ετών και άνω. Παρότι τα ποσοστά κινδύνου φτώχειας και κοινωνικού αποκλεισμού καταγράφουν σημαντικά χαμηλότερα επίπεδα σε αυτήν την ηλικιακή ομάδα, η διαχρονική τάση είναι αυξητική. Κατά τη διετία 2021-2023 ο δείκτης στα άτομα με σοβαρή αναπηρία και ηλικία από 65 ετών και άνω καταγράφει σημαντική αύξηση 5 μονάδων.</w:t>
      </w:r>
    </w:p>
    <w:p w14:paraId="671DB096" w14:textId="480FEEBF" w:rsidR="003677F5" w:rsidRPr="00AA279B" w:rsidRDefault="003677F5" w:rsidP="003677F5">
      <w:pPr>
        <w:pStyle w:val="af2"/>
        <w:ind w:left="0"/>
        <w:contextualSpacing w:val="0"/>
        <w:jc w:val="both"/>
        <w:rPr>
          <w:sz w:val="24"/>
          <w:szCs w:val="24"/>
          <w:lang w:val="el-GR"/>
        </w:rPr>
      </w:pPr>
      <w:r w:rsidRPr="00C36133">
        <w:rPr>
          <w:sz w:val="24"/>
          <w:szCs w:val="24"/>
          <w:lang w:val="el-GR"/>
        </w:rPr>
        <w:t xml:space="preserve">Παρότι η </w:t>
      </w:r>
      <w:r w:rsidR="008D0CE0">
        <w:rPr>
          <w:sz w:val="24"/>
          <w:szCs w:val="24"/>
          <w:lang w:val="el-GR"/>
        </w:rPr>
        <w:t xml:space="preserve">ηλικία </w:t>
      </w:r>
      <w:r w:rsidRPr="00C36133">
        <w:rPr>
          <w:sz w:val="24"/>
          <w:szCs w:val="24"/>
          <w:lang w:val="el-GR"/>
        </w:rPr>
        <w:t xml:space="preserve">των 65+ έδειξε μεγαλύτερη αντοχή τα πρώτα χρόνια της οικονομικής κρίσης, οι συνεχόμενες περικοπές στις συντάξεις, οι φορολογικές επιβαρύνσεις, οι επιπτώσεις την πανδημικής κρίσης κατά την οποία δεν λήφθηκε κανένα μέτρο οικονομικής ενίσχυσης των ατόμων με αναπηρία, αλλά και η ενεργειακή και πληθωριστική κρίση των τελευταίων χρόνων, είχαν σαν αποτέλεσμα την περαιτέρω φτωχοποίηση των </w:t>
      </w:r>
      <w:r w:rsidRPr="00AA279B">
        <w:rPr>
          <w:sz w:val="24"/>
          <w:szCs w:val="24"/>
          <w:lang w:val="el-GR"/>
        </w:rPr>
        <w:t>συνταξιούχων και δη των συνταξιούχων με αναπηρία.</w:t>
      </w:r>
    </w:p>
    <w:bookmarkEnd w:id="18"/>
    <w:p w14:paraId="790C5915" w14:textId="20EEA9EA" w:rsidR="0099053B" w:rsidRDefault="003677F5" w:rsidP="003677F5">
      <w:pPr>
        <w:pStyle w:val="af2"/>
        <w:ind w:left="0"/>
        <w:contextualSpacing w:val="0"/>
        <w:jc w:val="both"/>
        <w:rPr>
          <w:sz w:val="24"/>
          <w:szCs w:val="24"/>
          <w:lang w:val="el-GR"/>
        </w:rPr>
      </w:pPr>
      <w:r w:rsidRPr="00AA279B">
        <w:rPr>
          <w:sz w:val="24"/>
          <w:szCs w:val="24"/>
          <w:lang w:val="el-GR"/>
        </w:rPr>
        <w:t xml:space="preserve">Συγκρίνοντας τα ποσοστά </w:t>
      </w:r>
      <w:r w:rsidR="008D0CE0">
        <w:rPr>
          <w:sz w:val="24"/>
          <w:szCs w:val="24"/>
          <w:lang w:val="el-GR"/>
        </w:rPr>
        <w:t xml:space="preserve">κινδύνου </w:t>
      </w:r>
      <w:r w:rsidRPr="00AA279B">
        <w:rPr>
          <w:sz w:val="24"/>
          <w:szCs w:val="24"/>
          <w:lang w:val="el-GR"/>
        </w:rPr>
        <w:t xml:space="preserve">φτώχειας </w:t>
      </w:r>
      <w:r w:rsidR="008D0CE0">
        <w:rPr>
          <w:sz w:val="24"/>
          <w:szCs w:val="24"/>
          <w:lang w:val="el-GR"/>
        </w:rPr>
        <w:t xml:space="preserve">ή/και κοινωνικού </w:t>
      </w:r>
      <w:r w:rsidRPr="00AA279B">
        <w:rPr>
          <w:sz w:val="24"/>
          <w:szCs w:val="24"/>
          <w:lang w:val="el-GR"/>
        </w:rPr>
        <w:t>αποκλεισμού στον πληθυσμό με αναπηρία και στον πληθυσμό χωρίς αναπηρία στην ηλικιακή ομάδα 16-64 ετών, διαπιστώνουμε ότι το χάσμα των πολιτών με σοβαρή αναπηρία παραγωγικής ηλικίας σε σύγκριση με τους πολίτες χωρίς αναπηρία, είναι ιδιαίτερα εκτεταμένο και υπολογίζεται μεσοσταθμικά για το διάστημα 2015-2023 στις 22 μονάδες. Συνολικά κατά το διάστημα αναφοράς διαπιστώνεται διεύρυνση των ανισοτήτων εις βάρος των ατόμων με σοβαρή αναπηρία, με το χάσμα της φτώχειας και του αποκλεισμού να έχει αυξηθεί σημαντικά. Ειδικότερα, το 2015 ο δείκτης υπολογίζεται σε 17,6 μονάδες και το 2023 ανέρχεται σε 23 μονάδες.</w:t>
      </w:r>
    </w:p>
    <w:p w14:paraId="7EF9310C" w14:textId="77777777" w:rsidR="0099053B" w:rsidRDefault="0099053B">
      <w:pPr>
        <w:spacing w:after="0" w:line="240" w:lineRule="auto"/>
        <w:rPr>
          <w:sz w:val="24"/>
          <w:szCs w:val="24"/>
          <w:lang w:val="el-GR"/>
        </w:rPr>
      </w:pPr>
      <w:r>
        <w:rPr>
          <w:sz w:val="24"/>
          <w:szCs w:val="24"/>
          <w:lang w:val="el-GR"/>
        </w:rPr>
        <w:br w:type="page"/>
      </w:r>
    </w:p>
    <w:p w14:paraId="69C27EBA" w14:textId="0E3C86C2" w:rsidR="003677F5" w:rsidRPr="007E4A61" w:rsidRDefault="003677F5" w:rsidP="007E4A61">
      <w:pPr>
        <w:pStyle w:val="a4"/>
        <w:ind w:left="142" w:right="282"/>
        <w:jc w:val="center"/>
        <w:rPr>
          <w:rFonts w:asciiTheme="majorHAnsi" w:hAnsiTheme="majorHAnsi" w:cstheme="majorHAnsi"/>
          <w:b/>
          <w:bCs/>
          <w:i w:val="0"/>
          <w:iCs w:val="0"/>
          <w:color w:val="538135" w:themeColor="accent6" w:themeShade="BF"/>
          <w:sz w:val="24"/>
          <w:szCs w:val="24"/>
          <w:lang w:val="el-GR"/>
        </w:rPr>
      </w:pPr>
      <w:bookmarkStart w:id="19" w:name="_Toc135310562"/>
      <w:bookmarkStart w:id="20" w:name="_Toc185586646"/>
      <w:r w:rsidRPr="007E4A61">
        <w:rPr>
          <w:rFonts w:asciiTheme="majorHAnsi" w:hAnsiTheme="majorHAnsi" w:cstheme="majorHAnsi"/>
          <w:b/>
          <w:bCs/>
          <w:i w:val="0"/>
          <w:iCs w:val="0"/>
          <w:color w:val="538135" w:themeColor="accent6" w:themeShade="BF"/>
          <w:sz w:val="24"/>
          <w:szCs w:val="24"/>
          <w:lang w:val="el-GR"/>
        </w:rPr>
        <w:lastRenderedPageBreak/>
        <w:t xml:space="preserve">Γράφημα </w:t>
      </w:r>
      <w:r w:rsidRPr="007E4A61">
        <w:rPr>
          <w:rFonts w:asciiTheme="majorHAnsi" w:hAnsiTheme="majorHAnsi" w:cstheme="majorHAnsi"/>
          <w:b/>
          <w:bCs/>
          <w:i w:val="0"/>
          <w:iCs w:val="0"/>
          <w:color w:val="538135" w:themeColor="accent6" w:themeShade="BF"/>
          <w:sz w:val="24"/>
          <w:szCs w:val="24"/>
        </w:rPr>
        <w:fldChar w:fldCharType="begin"/>
      </w:r>
      <w:r w:rsidRPr="007E4A61">
        <w:rPr>
          <w:rFonts w:asciiTheme="majorHAnsi" w:hAnsiTheme="majorHAnsi" w:cstheme="majorHAnsi"/>
          <w:b/>
          <w:bCs/>
          <w:i w:val="0"/>
          <w:iCs w:val="0"/>
          <w:color w:val="538135" w:themeColor="accent6" w:themeShade="BF"/>
          <w:sz w:val="24"/>
          <w:szCs w:val="24"/>
          <w:lang w:val="el-GR"/>
        </w:rPr>
        <w:instrText xml:space="preserve"> </w:instrText>
      </w:r>
      <w:r w:rsidRPr="007E4A61">
        <w:rPr>
          <w:rFonts w:asciiTheme="majorHAnsi" w:hAnsiTheme="majorHAnsi" w:cstheme="majorHAnsi"/>
          <w:b/>
          <w:bCs/>
          <w:i w:val="0"/>
          <w:iCs w:val="0"/>
          <w:color w:val="538135" w:themeColor="accent6" w:themeShade="BF"/>
          <w:sz w:val="24"/>
          <w:szCs w:val="24"/>
        </w:rPr>
        <w:instrText>SEQ</w:instrText>
      </w:r>
      <w:r w:rsidRPr="007E4A61">
        <w:rPr>
          <w:rFonts w:asciiTheme="majorHAnsi" w:hAnsiTheme="majorHAnsi" w:cstheme="majorHAnsi"/>
          <w:b/>
          <w:bCs/>
          <w:i w:val="0"/>
          <w:iCs w:val="0"/>
          <w:color w:val="538135" w:themeColor="accent6" w:themeShade="BF"/>
          <w:sz w:val="24"/>
          <w:szCs w:val="24"/>
          <w:lang w:val="el-GR"/>
        </w:rPr>
        <w:instrText xml:space="preserve"> Γράφημα \* </w:instrText>
      </w:r>
      <w:r w:rsidRPr="007E4A61">
        <w:rPr>
          <w:rFonts w:asciiTheme="majorHAnsi" w:hAnsiTheme="majorHAnsi" w:cstheme="majorHAnsi"/>
          <w:b/>
          <w:bCs/>
          <w:i w:val="0"/>
          <w:iCs w:val="0"/>
          <w:color w:val="538135" w:themeColor="accent6" w:themeShade="BF"/>
          <w:sz w:val="24"/>
          <w:szCs w:val="24"/>
        </w:rPr>
        <w:instrText>ARABIC</w:instrText>
      </w:r>
      <w:r w:rsidRPr="007E4A61">
        <w:rPr>
          <w:rFonts w:asciiTheme="majorHAnsi" w:hAnsiTheme="majorHAnsi" w:cstheme="majorHAnsi"/>
          <w:b/>
          <w:bCs/>
          <w:i w:val="0"/>
          <w:iCs w:val="0"/>
          <w:color w:val="538135" w:themeColor="accent6" w:themeShade="BF"/>
          <w:sz w:val="24"/>
          <w:szCs w:val="24"/>
          <w:lang w:val="el-GR"/>
        </w:rPr>
        <w:instrText xml:space="preserve"> </w:instrText>
      </w:r>
      <w:r w:rsidRPr="007E4A61">
        <w:rPr>
          <w:rFonts w:asciiTheme="majorHAnsi" w:hAnsiTheme="majorHAnsi" w:cstheme="majorHAnsi"/>
          <w:b/>
          <w:bCs/>
          <w:i w:val="0"/>
          <w:iCs w:val="0"/>
          <w:color w:val="538135" w:themeColor="accent6" w:themeShade="BF"/>
          <w:sz w:val="24"/>
          <w:szCs w:val="24"/>
        </w:rPr>
        <w:fldChar w:fldCharType="separate"/>
      </w:r>
      <w:r w:rsidR="00686E3C" w:rsidRPr="007E4A61">
        <w:rPr>
          <w:rFonts w:asciiTheme="majorHAnsi" w:hAnsiTheme="majorHAnsi" w:cstheme="majorHAnsi"/>
          <w:b/>
          <w:bCs/>
          <w:i w:val="0"/>
          <w:iCs w:val="0"/>
          <w:noProof/>
          <w:color w:val="538135" w:themeColor="accent6" w:themeShade="BF"/>
          <w:sz w:val="24"/>
          <w:szCs w:val="24"/>
          <w:lang w:val="el-GR"/>
        </w:rPr>
        <w:t>3</w:t>
      </w:r>
      <w:r w:rsidRPr="007E4A61">
        <w:rPr>
          <w:rFonts w:asciiTheme="majorHAnsi" w:hAnsiTheme="majorHAnsi" w:cstheme="majorHAnsi"/>
          <w:b/>
          <w:bCs/>
          <w:i w:val="0"/>
          <w:iCs w:val="0"/>
          <w:color w:val="538135" w:themeColor="accent6" w:themeShade="BF"/>
          <w:sz w:val="24"/>
          <w:szCs w:val="24"/>
        </w:rPr>
        <w:fldChar w:fldCharType="end"/>
      </w:r>
      <w:r w:rsidRPr="007E4A61">
        <w:rPr>
          <w:rFonts w:asciiTheme="majorHAnsi" w:hAnsiTheme="majorHAnsi" w:cstheme="majorHAnsi"/>
          <w:b/>
          <w:bCs/>
          <w:i w:val="0"/>
          <w:iCs w:val="0"/>
          <w:color w:val="538135" w:themeColor="accent6" w:themeShade="BF"/>
          <w:sz w:val="24"/>
          <w:szCs w:val="24"/>
          <w:lang w:val="el-GR"/>
        </w:rPr>
        <w:t>. Ποσοστό πληθυσμού (16-64 ετών) σε κίνδυνο φτώχειας ή σε κοινωνικό αποκλεισμό (Europe 2030) και κατάσταση αναπηρίας και χάσμα φτώχειας και κοινωνικού αποκλεισμού ατόμων με σοβαρή αναπηρία</w:t>
      </w:r>
      <w:bookmarkEnd w:id="19"/>
      <w:bookmarkEnd w:id="20"/>
    </w:p>
    <w:p w14:paraId="65848866" w14:textId="5515FA27" w:rsidR="003677F5" w:rsidRPr="00B07861" w:rsidRDefault="0099053B" w:rsidP="003677F5">
      <w:pPr>
        <w:rPr>
          <w:lang w:val="el-GR"/>
        </w:rPr>
      </w:pPr>
      <w:r>
        <w:rPr>
          <w:noProof/>
        </w:rPr>
        <w:drawing>
          <wp:inline distT="0" distB="0" distL="0" distR="0" wp14:anchorId="472A8282" wp14:editId="5DFE85E0">
            <wp:extent cx="5579745" cy="3429000"/>
            <wp:effectExtent l="0" t="0" r="1905" b="0"/>
            <wp:docPr id="1972908922" name="Chart 1" descr="2015: 52,0 Σοβαρή αναπηρία 16 έως 64 ετών, 34,4 Χωρίς αναπηρία 16 έως 64 ετών.&#10;&#10;2016: 53,2 Σοβαρή αναπηρία 16 έως 64 ετών, 35 Χωρίς αναπηρία 16 έως 64 ετών.&#10;&#10;2017: 54,6 Σοβαρή αναπηρία 16 έως 64 ετών, 33,9 Χωρίς αναπηρία 16 έως 64 ετών.&#10;&#10;2018: 57,4 Σοβαρή αναπηρία 16 έως 64 ετών, 31,2 Χωρίς αναπηρία 16 έως 64 ετών.&#10;&#10;2019: 56,0 Σοβαρή αναπηρία 16 έως 64 ετών, 29,4 Χωρίς αναπηρία 16 έως 64 ετών.&#10;&#10;2020: 49,8 Σοβαρή αναπηρία 16 έως 64 ετών, 27,7 Χωρίς αναπηρία 16 έως 64 ετών.&#10;&#10;2021: 50,6 Σοβαρή αναπηρία 16 έως 64 ετών, 29,1 Χωρίς αναπηρία 16 έως 64 ετών.&#10;&#10;2022: 50,7 Σοβαρή αναπηρία 16 έως 64 ετών, 26,2 Χωρίς αναπηρία 16 έως 64 ετών.&#10;&#10;2023: 47,9 Σοβαρή αναπηρία 16 έως 64 ετών, 24,9 Χωρίς αναπηρία 16 έως 64 ετών.">
              <a:extLst xmlns:a="http://schemas.openxmlformats.org/drawingml/2006/main">
                <a:ext uri="{FF2B5EF4-FFF2-40B4-BE49-F238E27FC236}">
                  <a16:creationId xmlns:a16="http://schemas.microsoft.com/office/drawing/2014/main" id="{F168F069-539F-4192-8FDB-EC0BEA0C1A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111202" w14:textId="77777777" w:rsidR="003D3956" w:rsidRPr="00CA7C8B" w:rsidRDefault="003D3956" w:rsidP="003D3956">
      <w:pPr>
        <w:pStyle w:val="a4"/>
        <w:spacing w:after="240"/>
        <w:ind w:left="142" w:right="282"/>
        <w:jc w:val="center"/>
        <w:rPr>
          <w:color w:val="538135" w:themeColor="accent6" w:themeShade="BF"/>
          <w:lang w:val="el-GR"/>
        </w:rPr>
      </w:pPr>
      <w:r w:rsidRPr="00CA7C8B">
        <w:rPr>
          <w:color w:val="538135" w:themeColor="accent6" w:themeShade="BF"/>
          <w:lang w:val="el-GR"/>
        </w:rPr>
        <w:t xml:space="preserve">Πηγή δεδομένων: </w:t>
      </w:r>
      <w:r w:rsidRPr="00CA7C8B">
        <w:rPr>
          <w:color w:val="538135" w:themeColor="accent6" w:themeShade="BF"/>
          <w:lang w:val="en-GB"/>
        </w:rPr>
        <w:t>Eurostat</w:t>
      </w:r>
      <w:r w:rsidRPr="000655AA">
        <w:rPr>
          <w:color w:val="538135" w:themeColor="accent6" w:themeShade="BF"/>
          <w:lang w:val="el-GR"/>
        </w:rPr>
        <w:t xml:space="preserve"> </w:t>
      </w:r>
      <w:r w:rsidRPr="00CA7C8B">
        <w:rPr>
          <w:color w:val="538135" w:themeColor="accent6" w:themeShade="BF"/>
          <w:lang w:val="en-GB"/>
        </w:rPr>
        <w:t>database</w:t>
      </w:r>
      <w:r w:rsidRPr="000655AA">
        <w:rPr>
          <w:color w:val="538135" w:themeColor="accent6" w:themeShade="BF"/>
          <w:lang w:val="el-GR"/>
        </w:rPr>
        <w:t xml:space="preserve">, </w:t>
      </w:r>
      <w:r w:rsidRPr="00CA7C8B">
        <w:rPr>
          <w:color w:val="538135" w:themeColor="accent6" w:themeShade="BF"/>
          <w:lang w:val="en-GB"/>
        </w:rPr>
        <w:t>EU</w:t>
      </w:r>
      <w:r w:rsidRPr="000655AA">
        <w:rPr>
          <w:color w:val="538135" w:themeColor="accent6" w:themeShade="BF"/>
          <w:lang w:val="el-GR"/>
        </w:rPr>
        <w:t>-</w:t>
      </w:r>
      <w:r w:rsidRPr="00CA7C8B">
        <w:rPr>
          <w:color w:val="538135" w:themeColor="accent6" w:themeShade="BF"/>
          <w:lang w:val="en-GB"/>
        </w:rPr>
        <w:t>SILC</w:t>
      </w:r>
      <w:r w:rsidRPr="000655AA">
        <w:rPr>
          <w:color w:val="538135" w:themeColor="accent6" w:themeShade="BF"/>
          <w:lang w:val="el-GR"/>
        </w:rPr>
        <w:t xml:space="preserve"> (</w:t>
      </w:r>
      <w:r w:rsidRPr="00CA7C8B">
        <w:rPr>
          <w:color w:val="538135" w:themeColor="accent6" w:themeShade="BF"/>
          <w:lang w:val="en-GB"/>
        </w:rPr>
        <w:t>Statistics</w:t>
      </w:r>
      <w:r w:rsidRPr="000655AA">
        <w:rPr>
          <w:color w:val="538135" w:themeColor="accent6" w:themeShade="BF"/>
          <w:lang w:val="el-GR"/>
        </w:rPr>
        <w:t xml:space="preserve"> </w:t>
      </w:r>
      <w:r w:rsidRPr="00CA7C8B">
        <w:rPr>
          <w:color w:val="538135" w:themeColor="accent6" w:themeShade="BF"/>
          <w:lang w:val="en-GB"/>
        </w:rPr>
        <w:t>on</w:t>
      </w:r>
      <w:r w:rsidRPr="000655AA">
        <w:rPr>
          <w:color w:val="538135" w:themeColor="accent6" w:themeShade="BF"/>
          <w:lang w:val="el-GR"/>
        </w:rPr>
        <w:t xml:space="preserve"> </w:t>
      </w:r>
      <w:r w:rsidRPr="00CA7C8B">
        <w:rPr>
          <w:color w:val="538135" w:themeColor="accent6" w:themeShade="BF"/>
          <w:lang w:val="en-GB"/>
        </w:rPr>
        <w:t>Income</w:t>
      </w:r>
      <w:r w:rsidRPr="000655AA">
        <w:rPr>
          <w:color w:val="538135" w:themeColor="accent6" w:themeShade="BF"/>
          <w:lang w:val="el-GR"/>
        </w:rPr>
        <w:t xml:space="preserve"> </w:t>
      </w:r>
      <w:r w:rsidRPr="00CA7C8B">
        <w:rPr>
          <w:color w:val="538135" w:themeColor="accent6" w:themeShade="BF"/>
          <w:lang w:val="en-GB"/>
        </w:rPr>
        <w:t>and</w:t>
      </w:r>
      <w:r w:rsidRPr="000655AA">
        <w:rPr>
          <w:color w:val="538135" w:themeColor="accent6" w:themeShade="BF"/>
          <w:lang w:val="el-GR"/>
        </w:rPr>
        <w:t xml:space="preserve"> </w:t>
      </w:r>
      <w:r w:rsidRPr="00CA7C8B">
        <w:rPr>
          <w:color w:val="538135" w:themeColor="accent6" w:themeShade="BF"/>
          <w:lang w:val="en-GB"/>
        </w:rPr>
        <w:t>Living</w:t>
      </w:r>
      <w:r w:rsidRPr="000655AA">
        <w:rPr>
          <w:color w:val="538135" w:themeColor="accent6" w:themeShade="BF"/>
          <w:lang w:val="el-GR"/>
        </w:rPr>
        <w:t xml:space="preserve"> </w:t>
      </w:r>
      <w:r w:rsidRPr="00CA7C8B">
        <w:rPr>
          <w:color w:val="538135" w:themeColor="accent6" w:themeShade="BF"/>
          <w:lang w:val="en-GB"/>
        </w:rPr>
        <w:t>Conditions</w:t>
      </w:r>
      <w:r w:rsidRPr="000655AA">
        <w:rPr>
          <w:color w:val="538135" w:themeColor="accent6" w:themeShade="BF"/>
          <w:lang w:val="el-GR"/>
        </w:rPr>
        <w:t>)</w:t>
      </w:r>
      <w:r w:rsidRPr="00CA7C8B">
        <w:rPr>
          <w:color w:val="538135" w:themeColor="accent6" w:themeShade="BF"/>
          <w:lang w:val="el-GR"/>
        </w:rPr>
        <w:br/>
        <w:t>Επεξεργασία δεδομένων: Παρατηρητήριο Θεμάτων Αναπηρίας</w:t>
      </w:r>
    </w:p>
    <w:p w14:paraId="722BF2DE" w14:textId="77777777" w:rsidR="003D3956" w:rsidRPr="003D3956" w:rsidRDefault="003D3956" w:rsidP="003D3956">
      <w:pPr>
        <w:jc w:val="center"/>
        <w:rPr>
          <w:lang w:val="el-GR"/>
        </w:rPr>
      </w:pPr>
    </w:p>
    <w:p w14:paraId="2A45BE32" w14:textId="77777777" w:rsidR="003677F5" w:rsidRDefault="003677F5" w:rsidP="003677F5">
      <w:pPr>
        <w:ind w:left="567"/>
        <w:rPr>
          <w:lang w:val="el-GR"/>
        </w:rPr>
      </w:pPr>
      <w:r w:rsidRPr="00B07861">
        <w:rPr>
          <w:lang w:val="el-GR"/>
        </w:rPr>
        <w:br w:type="page"/>
      </w:r>
    </w:p>
    <w:p w14:paraId="58E461FC" w14:textId="6C38D51F" w:rsidR="003677F5" w:rsidRPr="001E48DB" w:rsidRDefault="003677F5" w:rsidP="001E48DB">
      <w:pPr>
        <w:pStyle w:val="2"/>
        <w:spacing w:before="360" w:after="480"/>
        <w:ind w:left="578" w:right="-142" w:hanging="578"/>
        <w:jc w:val="left"/>
        <w:rPr>
          <w:rFonts w:asciiTheme="minorHAnsi" w:hAnsiTheme="minorHAnsi" w:cstheme="minorHAnsi"/>
          <w:color w:val="auto"/>
        </w:rPr>
      </w:pPr>
      <w:bookmarkStart w:id="21" w:name="_Toc135310541"/>
      <w:bookmarkStart w:id="22" w:name="_Toc185524534"/>
      <w:r w:rsidRPr="001E48DB">
        <w:rPr>
          <w:rFonts w:asciiTheme="minorHAnsi" w:hAnsiTheme="minorHAnsi" w:cstheme="minorHAnsi"/>
          <w:color w:val="auto"/>
        </w:rPr>
        <w:lastRenderedPageBreak/>
        <w:t>Πληθυσμός σε κίνδυνο φτώχειας</w:t>
      </w:r>
      <w:bookmarkEnd w:id="21"/>
      <w:bookmarkEnd w:id="22"/>
    </w:p>
    <w:p w14:paraId="4C8FDC09" w14:textId="77777777" w:rsidR="003677F5" w:rsidRPr="001E48DB" w:rsidRDefault="003677F5" w:rsidP="003677F5">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ajorHAnsi" w:hAnsiTheme="majorHAnsi" w:cstheme="majorHAnsi"/>
          <w:b/>
          <w:bCs/>
          <w:sz w:val="28"/>
          <w:szCs w:val="28"/>
          <w:u w:val="single"/>
          <w:lang w:val="el-GR"/>
        </w:rPr>
      </w:pPr>
      <w:r w:rsidRPr="001E48DB">
        <w:rPr>
          <w:rFonts w:asciiTheme="majorHAnsi" w:hAnsiTheme="majorHAnsi" w:cstheme="majorHAnsi"/>
          <w:b/>
          <w:bCs/>
          <w:sz w:val="28"/>
          <w:szCs w:val="28"/>
          <w:u w:val="single"/>
          <w:lang w:val="el-GR"/>
        </w:rPr>
        <w:t>ΜΕΘΟΔΟΛΟΓΙΚΟ ΣΗΜΕΙΩΜΑ</w:t>
      </w:r>
    </w:p>
    <w:p w14:paraId="7477FCFB" w14:textId="675316D7" w:rsidR="00380154" w:rsidRDefault="003677F5" w:rsidP="003677F5">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3"/>
          <w:szCs w:val="23"/>
          <w:lang w:val="el-GR"/>
        </w:rPr>
      </w:pPr>
      <w:r w:rsidRPr="00AA279B">
        <w:rPr>
          <w:rFonts w:asciiTheme="majorHAnsi" w:hAnsiTheme="majorHAnsi" w:cstheme="majorHAnsi"/>
          <w:b/>
          <w:sz w:val="23"/>
          <w:szCs w:val="23"/>
          <w:lang w:val="el-GR"/>
        </w:rPr>
        <w:t>Ο δείκτης κινδύνου φτώχειας</w:t>
      </w:r>
      <w:r w:rsidRPr="00AA279B">
        <w:rPr>
          <w:rFonts w:asciiTheme="majorHAnsi" w:hAnsiTheme="majorHAnsi" w:cstheme="majorHAnsi"/>
          <w:sz w:val="23"/>
          <w:szCs w:val="23"/>
          <w:lang w:val="el-GR"/>
        </w:rPr>
        <w:t xml:space="preserve"> </w:t>
      </w:r>
      <w:r w:rsidRPr="00AA279B">
        <w:rPr>
          <w:rFonts w:asciiTheme="majorHAnsi" w:hAnsiTheme="majorHAnsi" w:cstheme="majorHAnsi"/>
          <w:b/>
          <w:sz w:val="23"/>
          <w:szCs w:val="23"/>
          <w:lang w:val="el-GR"/>
        </w:rPr>
        <w:t>(</w:t>
      </w:r>
      <w:r w:rsidRPr="00AA279B">
        <w:rPr>
          <w:rFonts w:asciiTheme="majorHAnsi" w:hAnsiTheme="majorHAnsi" w:cstheme="majorHAnsi"/>
          <w:b/>
          <w:sz w:val="23"/>
          <w:szCs w:val="23"/>
        </w:rPr>
        <w:t>Poverty</w:t>
      </w:r>
      <w:r w:rsidRPr="00AA279B">
        <w:rPr>
          <w:rFonts w:asciiTheme="majorHAnsi" w:hAnsiTheme="majorHAnsi" w:cstheme="majorHAnsi"/>
          <w:b/>
          <w:sz w:val="23"/>
          <w:szCs w:val="23"/>
          <w:lang w:val="el-GR"/>
        </w:rPr>
        <w:t xml:space="preserve"> </w:t>
      </w:r>
      <w:r w:rsidRPr="00AA279B">
        <w:rPr>
          <w:rFonts w:asciiTheme="majorHAnsi" w:hAnsiTheme="majorHAnsi" w:cstheme="majorHAnsi"/>
          <w:b/>
          <w:sz w:val="23"/>
          <w:szCs w:val="23"/>
        </w:rPr>
        <w:t>Risk</w:t>
      </w:r>
      <w:r w:rsidRPr="00AA279B">
        <w:rPr>
          <w:rFonts w:asciiTheme="majorHAnsi" w:hAnsiTheme="majorHAnsi" w:cstheme="majorHAnsi"/>
          <w:b/>
          <w:sz w:val="23"/>
          <w:szCs w:val="23"/>
          <w:lang w:val="el-GR"/>
        </w:rPr>
        <w:t xml:space="preserve">), </w:t>
      </w:r>
      <w:r w:rsidRPr="00AA279B">
        <w:rPr>
          <w:rFonts w:asciiTheme="majorHAnsi" w:hAnsiTheme="majorHAnsi" w:cstheme="majorHAnsi"/>
          <w:sz w:val="23"/>
          <w:szCs w:val="23"/>
          <w:lang w:val="el-GR"/>
        </w:rPr>
        <w:t xml:space="preserve">μετράει τη σχετική </w:t>
      </w:r>
      <w:r w:rsidR="001E48DB" w:rsidRPr="001E48DB">
        <w:rPr>
          <w:rFonts w:asciiTheme="majorHAnsi" w:hAnsiTheme="majorHAnsi" w:cstheme="majorHAnsi"/>
          <w:sz w:val="23"/>
          <w:szCs w:val="23"/>
          <w:lang w:val="el-GR"/>
        </w:rPr>
        <w:t>‒</w:t>
      </w:r>
      <w:r w:rsidRPr="00AA279B">
        <w:rPr>
          <w:rFonts w:asciiTheme="majorHAnsi" w:hAnsiTheme="majorHAnsi" w:cstheme="majorHAnsi"/>
          <w:sz w:val="23"/>
          <w:szCs w:val="23"/>
          <w:lang w:val="el-GR"/>
        </w:rPr>
        <w:t>εισοδηματική</w:t>
      </w:r>
      <w:r w:rsidR="001E48DB" w:rsidRPr="001E48DB">
        <w:rPr>
          <w:rFonts w:asciiTheme="majorHAnsi" w:hAnsiTheme="majorHAnsi" w:cstheme="majorHAnsi"/>
          <w:sz w:val="23"/>
          <w:szCs w:val="23"/>
          <w:lang w:val="el-GR"/>
        </w:rPr>
        <w:t>‒</w:t>
      </w:r>
      <w:r w:rsidRPr="00AA279B">
        <w:rPr>
          <w:rFonts w:asciiTheme="majorHAnsi" w:hAnsiTheme="majorHAnsi" w:cstheme="majorHAnsi"/>
          <w:sz w:val="23"/>
          <w:szCs w:val="23"/>
          <w:lang w:val="el-GR"/>
        </w:rPr>
        <w:t xml:space="preserve"> φτώχεια του πληθυσμού αναφορικά με ένα κυμαινόμενο κατώφλι φτώχειας. Είναι σημαντικό να </w:t>
      </w:r>
      <w:r w:rsidR="00380154">
        <w:rPr>
          <w:rFonts w:asciiTheme="majorHAnsi" w:hAnsiTheme="majorHAnsi" w:cstheme="majorHAnsi"/>
          <w:sz w:val="23"/>
          <w:szCs w:val="23"/>
          <w:lang w:val="el-GR"/>
        </w:rPr>
        <w:t>επισημανθεί</w:t>
      </w:r>
      <w:r w:rsidRPr="00AA279B">
        <w:rPr>
          <w:rFonts w:asciiTheme="majorHAnsi" w:hAnsiTheme="majorHAnsi" w:cstheme="majorHAnsi"/>
          <w:sz w:val="23"/>
          <w:szCs w:val="23"/>
          <w:lang w:val="el-GR"/>
        </w:rPr>
        <w:t xml:space="preserve"> ότι ο δείκτης κινδύνου φτώχειας, έχοντας ως κατώφλι το διάμεσο ισοδύναμο εισόδημα, επηρεάζεται δραστικά από τη συνολική κατανομή του εισοδήματος του πληθυσμού, καθώς μεταβάλλεται σε συνάρτηση με τη γενική εισοδηματική μεταβολή.</w:t>
      </w:r>
    </w:p>
    <w:p w14:paraId="45F916CB" w14:textId="644DFE5C" w:rsidR="003677F5" w:rsidRPr="00AA279B" w:rsidRDefault="003677F5" w:rsidP="003677F5">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3"/>
          <w:szCs w:val="23"/>
          <w:lang w:val="el-GR"/>
        </w:rPr>
      </w:pPr>
      <w:r w:rsidRPr="00AA279B">
        <w:rPr>
          <w:rFonts w:asciiTheme="majorHAnsi" w:hAnsiTheme="majorHAnsi" w:cstheme="majorHAnsi"/>
          <w:sz w:val="23"/>
          <w:szCs w:val="23"/>
          <w:lang w:val="el-GR"/>
        </w:rPr>
        <w:t xml:space="preserve">Στην Ελλάδα, η συνολική φτωχοποίηση του πληθυσμού </w:t>
      </w:r>
      <w:r>
        <w:rPr>
          <w:rFonts w:asciiTheme="majorHAnsi" w:hAnsiTheme="majorHAnsi" w:cstheme="majorHAnsi"/>
          <w:sz w:val="23"/>
          <w:szCs w:val="23"/>
          <w:lang w:val="el-GR"/>
        </w:rPr>
        <w:t>τα προηγούμενα έτη</w:t>
      </w:r>
      <w:r w:rsidR="00380154">
        <w:rPr>
          <w:rFonts w:asciiTheme="majorHAnsi" w:hAnsiTheme="majorHAnsi" w:cstheme="majorHAnsi"/>
          <w:sz w:val="23"/>
          <w:szCs w:val="23"/>
          <w:lang w:val="el-GR"/>
        </w:rPr>
        <w:t>,</w:t>
      </w:r>
      <w:r>
        <w:rPr>
          <w:rFonts w:asciiTheme="majorHAnsi" w:hAnsiTheme="majorHAnsi" w:cstheme="majorHAnsi"/>
          <w:sz w:val="23"/>
          <w:szCs w:val="23"/>
          <w:lang w:val="el-GR"/>
        </w:rPr>
        <w:t xml:space="preserve"> </w:t>
      </w:r>
      <w:r w:rsidRPr="00AA279B">
        <w:rPr>
          <w:rFonts w:asciiTheme="majorHAnsi" w:hAnsiTheme="majorHAnsi" w:cstheme="majorHAnsi"/>
          <w:sz w:val="23"/>
          <w:szCs w:val="23"/>
          <w:lang w:val="el-GR"/>
        </w:rPr>
        <w:t>είχε σαν αποτέλεσμα την προς τα κάτω συμπίεση της γραμμής της φτώχειας</w:t>
      </w:r>
      <w:r w:rsidR="00380154">
        <w:rPr>
          <w:rFonts w:asciiTheme="majorHAnsi" w:hAnsiTheme="majorHAnsi" w:cstheme="majorHAnsi"/>
          <w:sz w:val="23"/>
          <w:szCs w:val="23"/>
          <w:lang w:val="el-GR"/>
        </w:rPr>
        <w:t xml:space="preserve"> (</w:t>
      </w:r>
      <w:r w:rsidR="00380154">
        <w:rPr>
          <w:rFonts w:asciiTheme="majorHAnsi" w:hAnsiTheme="majorHAnsi" w:cstheme="majorHAnsi"/>
          <w:sz w:val="23"/>
          <w:szCs w:val="23"/>
        </w:rPr>
        <w:t>poverty</w:t>
      </w:r>
      <w:r w:rsidR="00380154" w:rsidRPr="00380154">
        <w:rPr>
          <w:rFonts w:asciiTheme="majorHAnsi" w:hAnsiTheme="majorHAnsi" w:cstheme="majorHAnsi"/>
          <w:sz w:val="23"/>
          <w:szCs w:val="23"/>
          <w:lang w:val="el-GR"/>
        </w:rPr>
        <w:t xml:space="preserve"> </w:t>
      </w:r>
      <w:r w:rsidR="00380154">
        <w:rPr>
          <w:rFonts w:asciiTheme="majorHAnsi" w:hAnsiTheme="majorHAnsi" w:cstheme="majorHAnsi"/>
          <w:sz w:val="23"/>
          <w:szCs w:val="23"/>
        </w:rPr>
        <w:t>line</w:t>
      </w:r>
      <w:r w:rsidR="00380154" w:rsidRPr="00380154">
        <w:rPr>
          <w:rFonts w:asciiTheme="majorHAnsi" w:hAnsiTheme="majorHAnsi" w:cstheme="majorHAnsi"/>
          <w:sz w:val="23"/>
          <w:szCs w:val="23"/>
          <w:lang w:val="el-GR"/>
        </w:rPr>
        <w:t>)</w:t>
      </w:r>
      <w:r w:rsidRPr="00AA279B">
        <w:rPr>
          <w:rFonts w:asciiTheme="majorHAnsi" w:hAnsiTheme="majorHAnsi" w:cstheme="majorHAnsi"/>
          <w:sz w:val="23"/>
          <w:szCs w:val="23"/>
          <w:lang w:val="el-GR"/>
        </w:rPr>
        <w:t xml:space="preserve">. Συνεπώς ο δείκτης έχει αξία όταν ερμηνεύεται με όρους </w:t>
      </w:r>
      <w:r w:rsidRPr="00AA279B">
        <w:rPr>
          <w:rFonts w:asciiTheme="majorHAnsi" w:hAnsiTheme="majorHAnsi" w:cstheme="majorHAnsi"/>
          <w:b/>
          <w:bCs/>
          <w:sz w:val="23"/>
          <w:szCs w:val="23"/>
          <w:lang w:val="el-GR"/>
        </w:rPr>
        <w:t>εισοδηματικής ανισότητας</w:t>
      </w:r>
      <w:r w:rsidRPr="00AA279B">
        <w:rPr>
          <w:rFonts w:asciiTheme="majorHAnsi" w:hAnsiTheme="majorHAnsi" w:cstheme="majorHAnsi"/>
          <w:sz w:val="23"/>
          <w:szCs w:val="23"/>
          <w:lang w:val="el-GR"/>
        </w:rPr>
        <w:t xml:space="preserve"> (σχετικής φτώχειας σε όρους ονομαστικού εισοδήματος) των διαφόρων κατηγοριών του πληθυσμού, παρά ως ένδειξη των πραγματικών υλικών συνθηκών διαβίωσης.</w:t>
      </w:r>
    </w:p>
    <w:p w14:paraId="7FEC3532" w14:textId="1F23FE2B" w:rsidR="003677F5" w:rsidRPr="00AA279B" w:rsidRDefault="003677F5" w:rsidP="003677F5">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3"/>
          <w:szCs w:val="23"/>
          <w:lang w:val="el-GR"/>
        </w:rPr>
      </w:pPr>
      <w:r>
        <w:rPr>
          <w:rFonts w:asciiTheme="majorHAnsi" w:hAnsiTheme="majorHAnsi" w:cstheme="majorHAnsi"/>
          <w:sz w:val="23"/>
          <w:szCs w:val="23"/>
          <w:lang w:val="el-GR"/>
        </w:rPr>
        <w:t>Επίσης</w:t>
      </w:r>
      <w:r w:rsidR="00093E9D">
        <w:rPr>
          <w:rFonts w:asciiTheme="majorHAnsi" w:hAnsiTheme="majorHAnsi" w:cstheme="majorHAnsi"/>
          <w:sz w:val="23"/>
          <w:szCs w:val="23"/>
          <w:lang w:val="el-GR"/>
        </w:rPr>
        <w:t xml:space="preserve"> </w:t>
      </w:r>
      <w:r w:rsidRPr="00AA279B">
        <w:rPr>
          <w:rFonts w:asciiTheme="majorHAnsi" w:hAnsiTheme="majorHAnsi" w:cstheme="majorHAnsi"/>
          <w:sz w:val="23"/>
          <w:szCs w:val="23"/>
          <w:lang w:val="el-GR"/>
        </w:rPr>
        <w:t>ο δείκτης δεν λαμβάνει υπόψη την πραγματική αγοραστική δύναμη</w:t>
      </w:r>
      <w:r w:rsidRPr="00AA279B">
        <w:rPr>
          <w:rStyle w:val="a9"/>
          <w:rFonts w:asciiTheme="majorHAnsi" w:hAnsiTheme="majorHAnsi" w:cstheme="majorHAnsi"/>
          <w:sz w:val="23"/>
          <w:szCs w:val="23"/>
        </w:rPr>
        <w:footnoteReference w:id="6"/>
      </w:r>
      <w:r w:rsidRPr="00AA279B">
        <w:rPr>
          <w:rFonts w:asciiTheme="majorHAnsi" w:hAnsiTheme="majorHAnsi" w:cstheme="majorHAnsi"/>
          <w:sz w:val="23"/>
          <w:szCs w:val="23"/>
          <w:lang w:val="el-GR"/>
        </w:rPr>
        <w:t xml:space="preserve"> και το κόστος διαβίωσης των ατόμων. </w:t>
      </w:r>
      <w:r>
        <w:rPr>
          <w:rFonts w:asciiTheme="majorHAnsi" w:hAnsiTheme="majorHAnsi" w:cstheme="majorHAnsi"/>
          <w:sz w:val="23"/>
          <w:szCs w:val="23"/>
          <w:lang w:val="el-GR"/>
        </w:rPr>
        <w:t>Ειδικότερα όμως</w:t>
      </w:r>
      <w:r w:rsidRPr="00AA279B">
        <w:rPr>
          <w:rFonts w:asciiTheme="majorHAnsi" w:hAnsiTheme="majorHAnsi" w:cstheme="majorHAnsi"/>
          <w:sz w:val="23"/>
          <w:szCs w:val="23"/>
          <w:lang w:val="el-GR"/>
        </w:rPr>
        <w:t xml:space="preserve"> για τον πληθυσμό των ατόμων με αναπηρία</w:t>
      </w:r>
      <w:r>
        <w:rPr>
          <w:rFonts w:asciiTheme="majorHAnsi" w:hAnsiTheme="majorHAnsi" w:cstheme="majorHAnsi"/>
          <w:sz w:val="23"/>
          <w:szCs w:val="23"/>
          <w:lang w:val="el-GR"/>
        </w:rPr>
        <w:t>,</w:t>
      </w:r>
      <w:r w:rsidRPr="00AA279B">
        <w:rPr>
          <w:rFonts w:asciiTheme="majorHAnsi" w:hAnsiTheme="majorHAnsi" w:cstheme="majorHAnsi"/>
          <w:sz w:val="23"/>
          <w:szCs w:val="23"/>
          <w:lang w:val="el-GR"/>
        </w:rPr>
        <w:t xml:space="preserve"> πρέπει να ληφθεί υπόψη ότι επωμίζονται συχνά ένα πρόσθετο κόστος διαβίωσης που απορρέει από την αναπηρία. Συνεπώς το γενικώς οριζόμενο κατώφλι φτώχειας είναι λιγότερο έγκυρο ως μέτρο για τη φτωχοποίηση αυτής της ομάδας του πληθυσμού, και ιδίως στο βαθμό που δεν εξαιρούνται από το συνολικό εισόδημα τα επιδόματα αναπηρίας τα οποία δαπανώνται για την κάλυψη πρόσθετων αναγκών σε εξειδικευμένες υπηρεσίες και αγαθά.</w:t>
      </w:r>
    </w:p>
    <w:p w14:paraId="144AFCE4" w14:textId="48D7EEFF" w:rsidR="003677F5" w:rsidRPr="004865C8" w:rsidRDefault="003677F5" w:rsidP="001E48DB">
      <w:pPr>
        <w:pStyle w:val="af2"/>
        <w:spacing w:before="480"/>
        <w:ind w:left="0"/>
        <w:contextualSpacing w:val="0"/>
        <w:jc w:val="both"/>
        <w:rPr>
          <w:sz w:val="24"/>
          <w:szCs w:val="24"/>
          <w:lang w:val="el-GR"/>
        </w:rPr>
      </w:pPr>
      <w:r w:rsidRPr="004865C8">
        <w:rPr>
          <w:sz w:val="24"/>
          <w:szCs w:val="24"/>
          <w:lang w:val="el-GR"/>
        </w:rPr>
        <w:t>Ως κίνδυνος φτώχειας (</w:t>
      </w:r>
      <w:r w:rsidRPr="001E48DB">
        <w:rPr>
          <w:sz w:val="24"/>
          <w:szCs w:val="24"/>
          <w:lang w:val="en-GB"/>
        </w:rPr>
        <w:t>Poverty</w:t>
      </w:r>
      <w:r w:rsidRPr="000655AA">
        <w:rPr>
          <w:sz w:val="24"/>
          <w:szCs w:val="24"/>
          <w:lang w:val="el-GR"/>
        </w:rPr>
        <w:t xml:space="preserve"> </w:t>
      </w:r>
      <w:r w:rsidRPr="001E48DB">
        <w:rPr>
          <w:sz w:val="24"/>
          <w:szCs w:val="24"/>
          <w:lang w:val="en-GB"/>
        </w:rPr>
        <w:t>Risk</w:t>
      </w:r>
      <w:r w:rsidRPr="004865C8">
        <w:rPr>
          <w:sz w:val="24"/>
          <w:szCs w:val="24"/>
          <w:lang w:val="el-GR"/>
        </w:rPr>
        <w:t>)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 Για το έτος αναφοράς της έρευνας το κατώφλι της φτώχειας ανέρχεται στο ποσό των 6.030 ευρώ ετησίως για μονοπρόσωπο νοικοκυριό</w:t>
      </w:r>
      <w:r w:rsidR="001E48DB" w:rsidRPr="004865C8">
        <w:rPr>
          <w:rStyle w:val="a9"/>
          <w:sz w:val="24"/>
          <w:szCs w:val="24"/>
          <w:lang w:val="el-GR"/>
        </w:rPr>
        <w:footnoteReference w:id="7"/>
      </w:r>
      <w:r w:rsidRPr="004865C8">
        <w:rPr>
          <w:sz w:val="24"/>
          <w:szCs w:val="24"/>
          <w:lang w:val="el-GR"/>
        </w:rPr>
        <w:t>.</w:t>
      </w:r>
    </w:p>
    <w:p w14:paraId="1BD4637D" w14:textId="3785EF35" w:rsidR="003677F5" w:rsidRPr="00380154" w:rsidRDefault="003677F5" w:rsidP="003677F5">
      <w:pPr>
        <w:pStyle w:val="af2"/>
        <w:ind w:left="0"/>
        <w:contextualSpacing w:val="0"/>
        <w:jc w:val="both"/>
        <w:rPr>
          <w:rFonts w:cstheme="minorHAnsi"/>
          <w:sz w:val="24"/>
          <w:szCs w:val="24"/>
          <w:lang w:val="el-GR"/>
        </w:rPr>
      </w:pPr>
      <w:r w:rsidRPr="004865C8">
        <w:rPr>
          <w:rFonts w:cstheme="minorHAnsi"/>
          <w:sz w:val="24"/>
          <w:szCs w:val="24"/>
          <w:lang w:val="el-GR"/>
        </w:rPr>
        <w:t xml:space="preserve">Το έτος 2023, το 18,9% του συνολικού πληθυσμού της </w:t>
      </w:r>
      <w:r w:rsidRPr="004865C8">
        <w:rPr>
          <w:rFonts w:cstheme="minorHAnsi"/>
          <w:sz w:val="24"/>
          <w:szCs w:val="24"/>
        </w:rPr>
        <w:t>x</w:t>
      </w:r>
      <w:r w:rsidRPr="004865C8">
        <w:rPr>
          <w:rFonts w:cstheme="minorHAnsi"/>
          <w:sz w:val="24"/>
          <w:szCs w:val="24"/>
          <w:lang w:val="el-GR"/>
        </w:rPr>
        <w:t xml:space="preserve">ώρας ήταν σε κίνδυνο φτώχειας, </w:t>
      </w:r>
      <w:r w:rsidRPr="00380154">
        <w:rPr>
          <w:rFonts w:cstheme="minorHAnsi"/>
          <w:sz w:val="24"/>
          <w:szCs w:val="24"/>
          <w:lang w:val="el-GR"/>
        </w:rPr>
        <w:t>ποσοστό που εμφανίζει σχεδόν μηδενική μεταβολή σε σύγκριση με το προηγούμενο έτος.</w:t>
      </w:r>
    </w:p>
    <w:p w14:paraId="3DF96FC7" w14:textId="28369999" w:rsidR="003677F5" w:rsidRPr="00380154" w:rsidRDefault="003677F5" w:rsidP="003677F5">
      <w:pPr>
        <w:pStyle w:val="af2"/>
        <w:ind w:left="0"/>
        <w:contextualSpacing w:val="0"/>
        <w:jc w:val="both"/>
        <w:rPr>
          <w:rFonts w:cstheme="minorHAnsi"/>
          <w:sz w:val="24"/>
          <w:szCs w:val="24"/>
          <w:lang w:val="el-GR"/>
        </w:rPr>
      </w:pPr>
      <w:bookmarkStart w:id="23" w:name="_Hlk185234993"/>
      <w:r w:rsidRPr="00380154">
        <w:rPr>
          <w:rFonts w:cstheme="minorHAnsi"/>
          <w:sz w:val="24"/>
          <w:szCs w:val="24"/>
          <w:lang w:val="el-GR"/>
        </w:rPr>
        <w:t xml:space="preserve">Αντίστοιχα, </w:t>
      </w:r>
      <w:r w:rsidRPr="00380154">
        <w:rPr>
          <w:sz w:val="24"/>
          <w:szCs w:val="24"/>
          <w:lang w:val="el-GR"/>
        </w:rPr>
        <w:t>το ποσοστό των ατόμων με σοβαρή αναπηρία και ηλικία 16 ετών και άνω που βρίσκεται στο φάσμα της φτώχειας ανήλθε σε 21,5% και στα άτομα χωρίς αναπηρία ο δείκτης υπολογίζεται σε 18%.</w:t>
      </w:r>
    </w:p>
    <w:bookmarkEnd w:id="23"/>
    <w:p w14:paraId="2541F611" w14:textId="77777777" w:rsidR="003677F5" w:rsidRPr="00601034" w:rsidRDefault="003677F5" w:rsidP="003677F5">
      <w:pPr>
        <w:pStyle w:val="af2"/>
        <w:ind w:left="0"/>
        <w:contextualSpacing w:val="0"/>
        <w:jc w:val="both"/>
        <w:rPr>
          <w:sz w:val="24"/>
          <w:szCs w:val="24"/>
          <w:lang w:val="el-GR"/>
        </w:rPr>
      </w:pPr>
      <w:r w:rsidRPr="00601034">
        <w:rPr>
          <w:sz w:val="24"/>
          <w:szCs w:val="24"/>
          <w:lang w:val="el-GR"/>
        </w:rPr>
        <w:lastRenderedPageBreak/>
        <w:t>Στο γράφημα 4 απεικονίζεται ο δείκτης κινδύνου φτώχειας μετά τις κοινωνικές μεταβιβάσεις</w:t>
      </w:r>
      <w:r w:rsidRPr="00601034">
        <w:rPr>
          <w:vertAlign w:val="superscript"/>
          <w:lang w:val="el-GR"/>
        </w:rPr>
        <w:footnoteReference w:id="8"/>
      </w:r>
      <w:r w:rsidRPr="00601034">
        <w:rPr>
          <w:sz w:val="24"/>
          <w:szCs w:val="24"/>
          <w:lang w:val="el-GR"/>
        </w:rPr>
        <w:t>, συμπεριλαμβάνοντας δηλαδή στο εισόδημα των νοικοκυριών τα κοινωνικά επιδόματα και ενισχύσεις και τις συντάξεις, στον πληθυσμό με σοβαρή αναπηρία και χωρίς αναπηρία 16 ετών και άνω, για τα έτη 2014-2023.</w:t>
      </w:r>
    </w:p>
    <w:p w14:paraId="6E89BCAB" w14:textId="2CBBA380" w:rsidR="003677F5" w:rsidRPr="00601034" w:rsidRDefault="003677F5" w:rsidP="003677F5">
      <w:pPr>
        <w:pStyle w:val="af2"/>
        <w:ind w:left="0"/>
        <w:contextualSpacing w:val="0"/>
        <w:jc w:val="both"/>
        <w:rPr>
          <w:sz w:val="24"/>
          <w:szCs w:val="24"/>
          <w:lang w:val="el-GR"/>
        </w:rPr>
      </w:pPr>
      <w:r w:rsidRPr="00601034">
        <w:rPr>
          <w:sz w:val="24"/>
          <w:szCs w:val="24"/>
          <w:lang w:val="el-GR"/>
        </w:rPr>
        <w:t>Παρότι το διάστημα 2014 έως 2018-19 ο δείκτης κινδύνου φτώχειας καταγράφει γενικά τάση αποκλιμάκωσης, από το 2019 γίνεται εμφανής μια εκ νέου επιδείνωση του φαινομένου της εισοδηματικής φτώχειας, ιδιαίτερα στα άτομα με σοβαρή αναπηρία.</w:t>
      </w:r>
    </w:p>
    <w:p w14:paraId="2B15EA30" w14:textId="3B4D0C52" w:rsidR="003677F5" w:rsidRPr="004F3C53" w:rsidRDefault="003677F5" w:rsidP="00380154">
      <w:pPr>
        <w:pStyle w:val="a4"/>
        <w:ind w:left="567" w:right="565"/>
        <w:jc w:val="center"/>
        <w:rPr>
          <w:color w:val="538135" w:themeColor="accent6" w:themeShade="BF"/>
          <w:lang w:val="el-GR"/>
        </w:rPr>
      </w:pPr>
      <w:bookmarkStart w:id="24" w:name="_Toc135310563"/>
      <w:bookmarkStart w:id="25" w:name="_Toc185586647"/>
      <w:bookmarkStart w:id="26" w:name="_Hlk134908491"/>
      <w:r w:rsidRPr="004F3C53">
        <w:rPr>
          <w:rFonts w:asciiTheme="majorHAnsi" w:hAnsiTheme="majorHAnsi" w:cstheme="majorHAnsi"/>
          <w:b/>
          <w:bCs/>
          <w:i w:val="0"/>
          <w:iCs w:val="0"/>
          <w:color w:val="538135" w:themeColor="accent6" w:themeShade="BF"/>
          <w:sz w:val="24"/>
          <w:szCs w:val="24"/>
          <w:lang w:val="el-GR"/>
        </w:rPr>
        <w:t xml:space="preserve">Γράφημα </w:t>
      </w:r>
      <w:r w:rsidRPr="004F3C53">
        <w:rPr>
          <w:rFonts w:asciiTheme="majorHAnsi" w:hAnsiTheme="majorHAnsi" w:cstheme="majorHAnsi"/>
          <w:b/>
          <w:bCs/>
          <w:i w:val="0"/>
          <w:iCs w:val="0"/>
          <w:color w:val="538135" w:themeColor="accent6" w:themeShade="BF"/>
          <w:sz w:val="24"/>
          <w:szCs w:val="24"/>
        </w:rPr>
        <w:fldChar w:fldCharType="begin"/>
      </w:r>
      <w:r w:rsidRPr="004F3C53">
        <w:rPr>
          <w:rFonts w:asciiTheme="majorHAnsi" w:hAnsiTheme="majorHAnsi" w:cstheme="majorHAnsi"/>
          <w:b/>
          <w:bCs/>
          <w:i w:val="0"/>
          <w:iCs w:val="0"/>
          <w:color w:val="538135" w:themeColor="accent6" w:themeShade="BF"/>
          <w:sz w:val="24"/>
          <w:szCs w:val="24"/>
          <w:lang w:val="el-GR"/>
        </w:rPr>
        <w:instrText xml:space="preserve"> </w:instrText>
      </w:r>
      <w:r w:rsidRPr="004F3C53">
        <w:rPr>
          <w:rFonts w:asciiTheme="majorHAnsi" w:hAnsiTheme="majorHAnsi" w:cstheme="majorHAnsi"/>
          <w:b/>
          <w:bCs/>
          <w:i w:val="0"/>
          <w:iCs w:val="0"/>
          <w:color w:val="538135" w:themeColor="accent6" w:themeShade="BF"/>
          <w:sz w:val="24"/>
          <w:szCs w:val="24"/>
        </w:rPr>
        <w:instrText>SEQ</w:instrText>
      </w:r>
      <w:r w:rsidRPr="004F3C53">
        <w:rPr>
          <w:rFonts w:asciiTheme="majorHAnsi" w:hAnsiTheme="majorHAnsi" w:cstheme="majorHAnsi"/>
          <w:b/>
          <w:bCs/>
          <w:i w:val="0"/>
          <w:iCs w:val="0"/>
          <w:color w:val="538135" w:themeColor="accent6" w:themeShade="BF"/>
          <w:sz w:val="24"/>
          <w:szCs w:val="24"/>
          <w:lang w:val="el-GR"/>
        </w:rPr>
        <w:instrText xml:space="preserve"> Γράφημα \* </w:instrText>
      </w:r>
      <w:r w:rsidRPr="004F3C53">
        <w:rPr>
          <w:rFonts w:asciiTheme="majorHAnsi" w:hAnsiTheme="majorHAnsi" w:cstheme="majorHAnsi"/>
          <w:b/>
          <w:bCs/>
          <w:i w:val="0"/>
          <w:iCs w:val="0"/>
          <w:color w:val="538135" w:themeColor="accent6" w:themeShade="BF"/>
          <w:sz w:val="24"/>
          <w:szCs w:val="24"/>
        </w:rPr>
        <w:instrText>ARABIC</w:instrText>
      </w:r>
      <w:r w:rsidRPr="004F3C53">
        <w:rPr>
          <w:rFonts w:asciiTheme="majorHAnsi" w:hAnsiTheme="majorHAnsi" w:cstheme="majorHAnsi"/>
          <w:b/>
          <w:bCs/>
          <w:i w:val="0"/>
          <w:iCs w:val="0"/>
          <w:color w:val="538135" w:themeColor="accent6" w:themeShade="BF"/>
          <w:sz w:val="24"/>
          <w:szCs w:val="24"/>
          <w:lang w:val="el-GR"/>
        </w:rPr>
        <w:instrText xml:space="preserve"> </w:instrText>
      </w:r>
      <w:r w:rsidRPr="004F3C53">
        <w:rPr>
          <w:rFonts w:asciiTheme="majorHAnsi" w:hAnsiTheme="majorHAnsi" w:cstheme="majorHAnsi"/>
          <w:b/>
          <w:bCs/>
          <w:i w:val="0"/>
          <w:iCs w:val="0"/>
          <w:color w:val="538135" w:themeColor="accent6" w:themeShade="BF"/>
          <w:sz w:val="24"/>
          <w:szCs w:val="24"/>
        </w:rPr>
        <w:fldChar w:fldCharType="separate"/>
      </w:r>
      <w:r w:rsidR="00686E3C" w:rsidRPr="004F3C53">
        <w:rPr>
          <w:rFonts w:asciiTheme="majorHAnsi" w:hAnsiTheme="majorHAnsi" w:cstheme="majorHAnsi"/>
          <w:b/>
          <w:bCs/>
          <w:i w:val="0"/>
          <w:iCs w:val="0"/>
          <w:noProof/>
          <w:color w:val="538135" w:themeColor="accent6" w:themeShade="BF"/>
          <w:sz w:val="24"/>
          <w:szCs w:val="24"/>
          <w:lang w:val="el-GR"/>
        </w:rPr>
        <w:t>4</w:t>
      </w:r>
      <w:r w:rsidRPr="004F3C53">
        <w:rPr>
          <w:rFonts w:asciiTheme="majorHAnsi" w:hAnsiTheme="majorHAnsi" w:cstheme="majorHAnsi"/>
          <w:b/>
          <w:bCs/>
          <w:i w:val="0"/>
          <w:iCs w:val="0"/>
          <w:color w:val="538135" w:themeColor="accent6" w:themeShade="BF"/>
          <w:sz w:val="24"/>
          <w:szCs w:val="24"/>
        </w:rPr>
        <w:fldChar w:fldCharType="end"/>
      </w:r>
      <w:r w:rsidRPr="004F3C53">
        <w:rPr>
          <w:rFonts w:asciiTheme="majorHAnsi" w:hAnsiTheme="majorHAnsi" w:cstheme="majorHAnsi"/>
          <w:b/>
          <w:bCs/>
          <w:i w:val="0"/>
          <w:iCs w:val="0"/>
          <w:color w:val="538135" w:themeColor="accent6" w:themeShade="BF"/>
          <w:sz w:val="24"/>
          <w:szCs w:val="24"/>
          <w:lang w:val="el-GR"/>
        </w:rPr>
        <w:t>. Διαχρονική εξέλιξη του ποσοστού πληθυσμού σε κίνδυνο φτώχειας (</w:t>
      </w:r>
      <w:r w:rsidRPr="004F3C53">
        <w:rPr>
          <w:rFonts w:asciiTheme="majorHAnsi" w:hAnsiTheme="majorHAnsi" w:cstheme="majorHAnsi"/>
          <w:b/>
          <w:bCs/>
          <w:i w:val="0"/>
          <w:iCs w:val="0"/>
          <w:color w:val="538135" w:themeColor="accent6" w:themeShade="BF"/>
          <w:sz w:val="24"/>
          <w:szCs w:val="24"/>
          <w:lang w:val="en-GB"/>
        </w:rPr>
        <w:t>Poverty</w:t>
      </w:r>
      <w:r w:rsidRPr="004F3C53">
        <w:rPr>
          <w:rFonts w:asciiTheme="majorHAnsi" w:hAnsiTheme="majorHAnsi" w:cstheme="majorHAnsi"/>
          <w:b/>
          <w:bCs/>
          <w:i w:val="0"/>
          <w:iCs w:val="0"/>
          <w:color w:val="538135" w:themeColor="accent6" w:themeShade="BF"/>
          <w:sz w:val="24"/>
          <w:szCs w:val="24"/>
          <w:lang w:val="el-GR"/>
        </w:rPr>
        <w:t xml:space="preserve"> </w:t>
      </w:r>
      <w:r w:rsidRPr="004F3C53">
        <w:rPr>
          <w:rFonts w:asciiTheme="majorHAnsi" w:hAnsiTheme="majorHAnsi" w:cstheme="majorHAnsi"/>
          <w:b/>
          <w:bCs/>
          <w:i w:val="0"/>
          <w:iCs w:val="0"/>
          <w:color w:val="538135" w:themeColor="accent6" w:themeShade="BF"/>
          <w:sz w:val="24"/>
          <w:szCs w:val="24"/>
          <w:lang w:val="en-GB"/>
        </w:rPr>
        <w:t>Risk</w:t>
      </w:r>
      <w:r w:rsidRPr="004F3C53">
        <w:rPr>
          <w:rFonts w:asciiTheme="majorHAnsi" w:hAnsiTheme="majorHAnsi" w:cstheme="majorHAnsi"/>
          <w:b/>
          <w:bCs/>
          <w:i w:val="0"/>
          <w:iCs w:val="0"/>
          <w:color w:val="538135" w:themeColor="accent6" w:themeShade="BF"/>
          <w:sz w:val="24"/>
          <w:szCs w:val="24"/>
          <w:lang w:val="el-GR"/>
        </w:rPr>
        <w:t>) ηλικίας 16 ετών και άνω και κατάσταση αναπηρίας (Σοβαρή αναπηρία/χωρίς αναπηρία)</w:t>
      </w:r>
      <w:bookmarkEnd w:id="24"/>
      <w:bookmarkEnd w:id="25"/>
    </w:p>
    <w:p w14:paraId="02C5ECB0" w14:textId="70AC8555" w:rsidR="003677F5" w:rsidRPr="0016499D" w:rsidRDefault="004F3C53" w:rsidP="003677F5">
      <w:pPr>
        <w:ind w:left="-142" w:hanging="142"/>
        <w:rPr>
          <w:lang w:val="el-GR"/>
        </w:rPr>
      </w:pPr>
      <w:r>
        <w:rPr>
          <w:noProof/>
        </w:rPr>
        <w:drawing>
          <wp:inline distT="0" distB="0" distL="0" distR="0" wp14:anchorId="2583F9DA" wp14:editId="1E8AE20C">
            <wp:extent cx="5579745" cy="2940050"/>
            <wp:effectExtent l="0" t="0" r="1905" b="0"/>
            <wp:docPr id="1514938151" name="Chart 1" descr="2014: 22,4 Σοβαρή αναπηρία 16 ετών και άνω, 21,9 Χωρίς αναπηρία 16 ετών και άνω. &#10;&#10;2015: 21,7 Σοβαρή αναπηρία 16 ετών και άνω, 20,4 Χωρίς αναπηρία 16 ετών και άνω. &#10;&#10;2016: 18,5 Σοβαρή αναπηρία 16 ετών και άνω, 20,7 Χωρίς αναπηρία 16 ετών και άνω.&#10;&#10;2017: 20,5 Σοβαρή αναπηρία 16 ετών και άνω, 19,5 Χωρίς αναπηρία 16 ετών και άνω.&#10;&#10;2018: 18,4 Σοβαρή αναπηρία 16 ετών και άνω, 18,1 Χωρίς αναπηρία 16 ετών και άνω.&#10;&#10;2019: 18,7 Σοβαρή αναπηρία 16 ετών και άνω, 17 Χωρίς αναπηρία 16 ετών και άνω.&#10;&#10;2020: 19,5 Σοβαρή αναπηρία 16 ετών και άνω, 16,9 Χωρίς αναπηρία 16 ετών και άνω.&#10;&#10;2021: 19,2 Σοβαρή αναπηρία 16 ετών και άνω, 19,0 Χωρίς αναπηρία 16 ετών και άνω. &#10;&#10;2022: 22,7 Σοβαρή αναπηρία 16 ετών και άνω, 17,7 Χωρίς αναπηρία 16 ετών και άνω. &#10;&#10;2023: 21,5 Σοβαρή αναπηρία 16 ετών και άνω, 18,0 Χωρίς αναπηρία 16 ετών και άνω.">
              <a:extLst xmlns:a="http://schemas.openxmlformats.org/drawingml/2006/main">
                <a:ext uri="{FF2B5EF4-FFF2-40B4-BE49-F238E27FC236}">
                  <a16:creationId xmlns:a16="http://schemas.microsoft.com/office/drawing/2014/main" id="{CB2A4A93-AFCE-45EF-B0BE-B079D8F9B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26"/>
    <w:p w14:paraId="210D0255" w14:textId="77777777" w:rsidR="003D3956" w:rsidRPr="00CA7C8B" w:rsidRDefault="003D3956" w:rsidP="00970072">
      <w:pPr>
        <w:pStyle w:val="a4"/>
        <w:spacing w:after="240"/>
        <w:ind w:left="142" w:right="282"/>
        <w:jc w:val="center"/>
        <w:rPr>
          <w:color w:val="538135" w:themeColor="accent6" w:themeShade="BF"/>
          <w:lang w:val="el-GR"/>
        </w:rPr>
      </w:pPr>
      <w:r w:rsidRPr="00CA7C8B">
        <w:rPr>
          <w:color w:val="538135" w:themeColor="accent6" w:themeShade="BF"/>
          <w:lang w:val="el-GR"/>
        </w:rPr>
        <w:t xml:space="preserve">Πηγή δεδομένων: </w:t>
      </w:r>
      <w:r w:rsidRPr="00CA7C8B">
        <w:rPr>
          <w:color w:val="538135" w:themeColor="accent6" w:themeShade="BF"/>
          <w:lang w:val="en-GB"/>
        </w:rPr>
        <w:t>Eurostat</w:t>
      </w:r>
      <w:r w:rsidRPr="000655AA">
        <w:rPr>
          <w:color w:val="538135" w:themeColor="accent6" w:themeShade="BF"/>
          <w:lang w:val="el-GR"/>
        </w:rPr>
        <w:t xml:space="preserve"> </w:t>
      </w:r>
      <w:r w:rsidRPr="00CA7C8B">
        <w:rPr>
          <w:color w:val="538135" w:themeColor="accent6" w:themeShade="BF"/>
          <w:lang w:val="en-GB"/>
        </w:rPr>
        <w:t>database</w:t>
      </w:r>
      <w:r w:rsidRPr="000655AA">
        <w:rPr>
          <w:color w:val="538135" w:themeColor="accent6" w:themeShade="BF"/>
          <w:lang w:val="el-GR"/>
        </w:rPr>
        <w:t xml:space="preserve">, </w:t>
      </w:r>
      <w:r w:rsidRPr="00CA7C8B">
        <w:rPr>
          <w:color w:val="538135" w:themeColor="accent6" w:themeShade="BF"/>
          <w:lang w:val="en-GB"/>
        </w:rPr>
        <w:t>EU</w:t>
      </w:r>
      <w:r w:rsidRPr="000655AA">
        <w:rPr>
          <w:color w:val="538135" w:themeColor="accent6" w:themeShade="BF"/>
          <w:lang w:val="el-GR"/>
        </w:rPr>
        <w:t>-</w:t>
      </w:r>
      <w:r w:rsidRPr="00CA7C8B">
        <w:rPr>
          <w:color w:val="538135" w:themeColor="accent6" w:themeShade="BF"/>
          <w:lang w:val="en-GB"/>
        </w:rPr>
        <w:t>SILC</w:t>
      </w:r>
      <w:r w:rsidRPr="000655AA">
        <w:rPr>
          <w:color w:val="538135" w:themeColor="accent6" w:themeShade="BF"/>
          <w:lang w:val="el-GR"/>
        </w:rPr>
        <w:t xml:space="preserve"> (</w:t>
      </w:r>
      <w:r w:rsidRPr="00CA7C8B">
        <w:rPr>
          <w:color w:val="538135" w:themeColor="accent6" w:themeShade="BF"/>
          <w:lang w:val="en-GB"/>
        </w:rPr>
        <w:t>Statistics</w:t>
      </w:r>
      <w:r w:rsidRPr="000655AA">
        <w:rPr>
          <w:color w:val="538135" w:themeColor="accent6" w:themeShade="BF"/>
          <w:lang w:val="el-GR"/>
        </w:rPr>
        <w:t xml:space="preserve"> </w:t>
      </w:r>
      <w:r w:rsidRPr="00CA7C8B">
        <w:rPr>
          <w:color w:val="538135" w:themeColor="accent6" w:themeShade="BF"/>
          <w:lang w:val="en-GB"/>
        </w:rPr>
        <w:t>on</w:t>
      </w:r>
      <w:r w:rsidRPr="000655AA">
        <w:rPr>
          <w:color w:val="538135" w:themeColor="accent6" w:themeShade="BF"/>
          <w:lang w:val="el-GR"/>
        </w:rPr>
        <w:t xml:space="preserve"> </w:t>
      </w:r>
      <w:r w:rsidRPr="00CA7C8B">
        <w:rPr>
          <w:color w:val="538135" w:themeColor="accent6" w:themeShade="BF"/>
          <w:lang w:val="en-GB"/>
        </w:rPr>
        <w:t>Income</w:t>
      </w:r>
      <w:r w:rsidRPr="000655AA">
        <w:rPr>
          <w:color w:val="538135" w:themeColor="accent6" w:themeShade="BF"/>
          <w:lang w:val="el-GR"/>
        </w:rPr>
        <w:t xml:space="preserve"> </w:t>
      </w:r>
      <w:r w:rsidRPr="00CA7C8B">
        <w:rPr>
          <w:color w:val="538135" w:themeColor="accent6" w:themeShade="BF"/>
          <w:lang w:val="en-GB"/>
        </w:rPr>
        <w:t>and</w:t>
      </w:r>
      <w:r w:rsidRPr="000655AA">
        <w:rPr>
          <w:color w:val="538135" w:themeColor="accent6" w:themeShade="BF"/>
          <w:lang w:val="el-GR"/>
        </w:rPr>
        <w:t xml:space="preserve"> </w:t>
      </w:r>
      <w:r w:rsidRPr="00CA7C8B">
        <w:rPr>
          <w:color w:val="538135" w:themeColor="accent6" w:themeShade="BF"/>
          <w:lang w:val="en-GB"/>
        </w:rPr>
        <w:t>Living</w:t>
      </w:r>
      <w:r w:rsidRPr="000655AA">
        <w:rPr>
          <w:color w:val="538135" w:themeColor="accent6" w:themeShade="BF"/>
          <w:lang w:val="el-GR"/>
        </w:rPr>
        <w:t xml:space="preserve"> </w:t>
      </w:r>
      <w:r w:rsidRPr="00CA7C8B">
        <w:rPr>
          <w:color w:val="538135" w:themeColor="accent6" w:themeShade="BF"/>
          <w:lang w:val="en-GB"/>
        </w:rPr>
        <w:t>Conditions</w:t>
      </w:r>
      <w:r w:rsidRPr="000655AA">
        <w:rPr>
          <w:color w:val="538135" w:themeColor="accent6" w:themeShade="BF"/>
          <w:lang w:val="el-GR"/>
        </w:rPr>
        <w:t>)</w:t>
      </w:r>
      <w:r w:rsidRPr="00CA7C8B">
        <w:rPr>
          <w:color w:val="538135" w:themeColor="accent6" w:themeShade="BF"/>
          <w:lang w:val="el-GR"/>
        </w:rPr>
        <w:br/>
        <w:t>Επεξεργασία δεδομένων: Παρατηρητήριο Θεμάτων Αναπηρίας</w:t>
      </w:r>
    </w:p>
    <w:p w14:paraId="24757630" w14:textId="77777777" w:rsidR="003677F5" w:rsidRDefault="003677F5" w:rsidP="003677F5">
      <w:pPr>
        <w:spacing w:before="360"/>
        <w:ind w:left="284" w:hanging="284"/>
        <w:rPr>
          <w:rFonts w:asciiTheme="majorHAnsi" w:hAnsiTheme="majorHAnsi" w:cstheme="majorHAnsi"/>
          <w:b/>
          <w:bCs/>
          <w:i/>
          <w:iCs/>
          <w:lang w:val="el-GR"/>
        </w:rPr>
      </w:pPr>
      <w:r w:rsidRPr="0016499D">
        <w:rPr>
          <w:rFonts w:asciiTheme="majorHAnsi" w:hAnsiTheme="majorHAnsi" w:cstheme="majorHAnsi"/>
          <w:b/>
          <w:bCs/>
          <w:i/>
          <w:iCs/>
          <w:lang w:val="el-GR"/>
        </w:rPr>
        <w:t xml:space="preserve">* </w:t>
      </w:r>
      <w:r w:rsidRPr="0016499D">
        <w:rPr>
          <w:rFonts w:asciiTheme="majorHAnsi" w:hAnsiTheme="majorHAnsi" w:cstheme="majorHAnsi"/>
          <w:b/>
          <w:bCs/>
          <w:i/>
          <w:iCs/>
          <w:lang w:val="el-GR"/>
        </w:rPr>
        <w:tab/>
        <w:t>Επισημαίνεται ότι η περίοδος αναφοράς των εισοδημάτων αφορά στο προηγούμενο έτος από το έτος διενέργειας της έρευνας</w:t>
      </w:r>
    </w:p>
    <w:p w14:paraId="2964FF72" w14:textId="57CFF663" w:rsidR="003677F5" w:rsidRPr="002024FE" w:rsidRDefault="003677F5" w:rsidP="003677F5">
      <w:pPr>
        <w:jc w:val="both"/>
        <w:rPr>
          <w:sz w:val="24"/>
          <w:szCs w:val="24"/>
          <w:lang w:val="el-GR"/>
        </w:rPr>
      </w:pPr>
      <w:r w:rsidRPr="00A11C35">
        <w:rPr>
          <w:sz w:val="24"/>
          <w:szCs w:val="24"/>
          <w:lang w:val="el-GR"/>
        </w:rPr>
        <w:t xml:space="preserve">Όπως και στην περίπτωση του σύνθετου δείκτη, και οι ανισότητες που αντιμετωπίζουν τα άτομα με αναπηρία ως προς την </w:t>
      </w:r>
      <w:r w:rsidRPr="00F1419A">
        <w:rPr>
          <w:sz w:val="24"/>
          <w:szCs w:val="24"/>
          <w:lang w:val="el-GR"/>
        </w:rPr>
        <w:t>πρόσβασ</w:t>
      </w:r>
      <w:r w:rsidR="00BA6887" w:rsidRPr="00F1419A">
        <w:rPr>
          <w:sz w:val="24"/>
          <w:szCs w:val="24"/>
          <w:lang w:val="el-GR"/>
        </w:rPr>
        <w:t>ή</w:t>
      </w:r>
      <w:r w:rsidRPr="00F1419A">
        <w:rPr>
          <w:sz w:val="24"/>
          <w:szCs w:val="24"/>
          <w:lang w:val="el-GR"/>
        </w:rPr>
        <w:t xml:space="preserve"> τους </w:t>
      </w:r>
      <w:r w:rsidRPr="00A11C35">
        <w:rPr>
          <w:sz w:val="24"/>
          <w:szCs w:val="24"/>
          <w:lang w:val="el-GR"/>
        </w:rPr>
        <w:t xml:space="preserve">σε ένα επαρκές εισόδημα </w:t>
      </w:r>
      <w:r w:rsidRPr="002024FE">
        <w:rPr>
          <w:sz w:val="24"/>
          <w:szCs w:val="24"/>
          <w:lang w:val="el-GR"/>
        </w:rPr>
        <w:t>διαφοροποιούνται με βάση την ηλικία.</w:t>
      </w:r>
    </w:p>
    <w:p w14:paraId="33AA0B35" w14:textId="0B3D9722" w:rsidR="003677F5" w:rsidRPr="00970072" w:rsidRDefault="003677F5" w:rsidP="00970072">
      <w:pPr>
        <w:pStyle w:val="a4"/>
        <w:ind w:left="1134" w:right="990"/>
        <w:jc w:val="center"/>
        <w:rPr>
          <w:rFonts w:asciiTheme="majorHAnsi" w:hAnsiTheme="majorHAnsi" w:cstheme="majorHAnsi"/>
          <w:b/>
          <w:bCs/>
          <w:i w:val="0"/>
          <w:iCs w:val="0"/>
          <w:color w:val="538135" w:themeColor="accent6" w:themeShade="BF"/>
          <w:sz w:val="24"/>
          <w:szCs w:val="24"/>
          <w:lang w:val="el-GR"/>
        </w:rPr>
      </w:pPr>
      <w:bookmarkStart w:id="27" w:name="_Toc135310564"/>
      <w:bookmarkStart w:id="28" w:name="_Toc185586648"/>
      <w:r w:rsidRPr="00970072">
        <w:rPr>
          <w:rFonts w:asciiTheme="majorHAnsi" w:hAnsiTheme="majorHAnsi" w:cstheme="majorHAnsi"/>
          <w:b/>
          <w:bCs/>
          <w:i w:val="0"/>
          <w:iCs w:val="0"/>
          <w:color w:val="538135" w:themeColor="accent6" w:themeShade="BF"/>
          <w:sz w:val="24"/>
          <w:szCs w:val="24"/>
          <w:lang w:val="el-GR"/>
        </w:rPr>
        <w:lastRenderedPageBreak/>
        <w:t xml:space="preserve">Γράφημα </w:t>
      </w:r>
      <w:r w:rsidRPr="00970072">
        <w:rPr>
          <w:rFonts w:asciiTheme="majorHAnsi" w:hAnsiTheme="majorHAnsi" w:cstheme="majorHAnsi"/>
          <w:b/>
          <w:bCs/>
          <w:i w:val="0"/>
          <w:iCs w:val="0"/>
          <w:color w:val="538135" w:themeColor="accent6" w:themeShade="BF"/>
          <w:sz w:val="24"/>
          <w:szCs w:val="24"/>
        </w:rPr>
        <w:fldChar w:fldCharType="begin"/>
      </w:r>
      <w:r w:rsidRPr="00970072">
        <w:rPr>
          <w:rFonts w:asciiTheme="majorHAnsi" w:hAnsiTheme="majorHAnsi" w:cstheme="majorHAnsi"/>
          <w:b/>
          <w:bCs/>
          <w:i w:val="0"/>
          <w:iCs w:val="0"/>
          <w:color w:val="538135" w:themeColor="accent6" w:themeShade="BF"/>
          <w:sz w:val="24"/>
          <w:szCs w:val="24"/>
          <w:lang w:val="el-GR"/>
        </w:rPr>
        <w:instrText xml:space="preserve"> </w:instrText>
      </w:r>
      <w:r w:rsidRPr="00970072">
        <w:rPr>
          <w:rFonts w:asciiTheme="majorHAnsi" w:hAnsiTheme="majorHAnsi" w:cstheme="majorHAnsi"/>
          <w:b/>
          <w:bCs/>
          <w:i w:val="0"/>
          <w:iCs w:val="0"/>
          <w:color w:val="538135" w:themeColor="accent6" w:themeShade="BF"/>
          <w:sz w:val="24"/>
          <w:szCs w:val="24"/>
        </w:rPr>
        <w:instrText>SEQ</w:instrText>
      </w:r>
      <w:r w:rsidRPr="00970072">
        <w:rPr>
          <w:rFonts w:asciiTheme="majorHAnsi" w:hAnsiTheme="majorHAnsi" w:cstheme="majorHAnsi"/>
          <w:b/>
          <w:bCs/>
          <w:i w:val="0"/>
          <w:iCs w:val="0"/>
          <w:color w:val="538135" w:themeColor="accent6" w:themeShade="BF"/>
          <w:sz w:val="24"/>
          <w:szCs w:val="24"/>
          <w:lang w:val="el-GR"/>
        </w:rPr>
        <w:instrText xml:space="preserve"> Γράφημα \* </w:instrText>
      </w:r>
      <w:r w:rsidRPr="00970072">
        <w:rPr>
          <w:rFonts w:asciiTheme="majorHAnsi" w:hAnsiTheme="majorHAnsi" w:cstheme="majorHAnsi"/>
          <w:b/>
          <w:bCs/>
          <w:i w:val="0"/>
          <w:iCs w:val="0"/>
          <w:color w:val="538135" w:themeColor="accent6" w:themeShade="BF"/>
          <w:sz w:val="24"/>
          <w:szCs w:val="24"/>
        </w:rPr>
        <w:instrText>ARABIC</w:instrText>
      </w:r>
      <w:r w:rsidRPr="00970072">
        <w:rPr>
          <w:rFonts w:asciiTheme="majorHAnsi" w:hAnsiTheme="majorHAnsi" w:cstheme="majorHAnsi"/>
          <w:b/>
          <w:bCs/>
          <w:i w:val="0"/>
          <w:iCs w:val="0"/>
          <w:color w:val="538135" w:themeColor="accent6" w:themeShade="BF"/>
          <w:sz w:val="24"/>
          <w:szCs w:val="24"/>
          <w:lang w:val="el-GR"/>
        </w:rPr>
        <w:instrText xml:space="preserve"> </w:instrText>
      </w:r>
      <w:r w:rsidRPr="00970072">
        <w:rPr>
          <w:rFonts w:asciiTheme="majorHAnsi" w:hAnsiTheme="majorHAnsi" w:cstheme="majorHAnsi"/>
          <w:b/>
          <w:bCs/>
          <w:i w:val="0"/>
          <w:iCs w:val="0"/>
          <w:color w:val="538135" w:themeColor="accent6" w:themeShade="BF"/>
          <w:sz w:val="24"/>
          <w:szCs w:val="24"/>
        </w:rPr>
        <w:fldChar w:fldCharType="separate"/>
      </w:r>
      <w:r w:rsidR="00686E3C" w:rsidRPr="00970072">
        <w:rPr>
          <w:rFonts w:asciiTheme="majorHAnsi" w:hAnsiTheme="majorHAnsi" w:cstheme="majorHAnsi"/>
          <w:b/>
          <w:bCs/>
          <w:i w:val="0"/>
          <w:iCs w:val="0"/>
          <w:noProof/>
          <w:color w:val="538135" w:themeColor="accent6" w:themeShade="BF"/>
          <w:sz w:val="24"/>
          <w:szCs w:val="24"/>
          <w:lang w:val="el-GR"/>
        </w:rPr>
        <w:t>5</w:t>
      </w:r>
      <w:r w:rsidRPr="00970072">
        <w:rPr>
          <w:rFonts w:asciiTheme="majorHAnsi" w:hAnsiTheme="majorHAnsi" w:cstheme="majorHAnsi"/>
          <w:b/>
          <w:bCs/>
          <w:i w:val="0"/>
          <w:iCs w:val="0"/>
          <w:color w:val="538135" w:themeColor="accent6" w:themeShade="BF"/>
          <w:sz w:val="24"/>
          <w:szCs w:val="24"/>
        </w:rPr>
        <w:fldChar w:fldCharType="end"/>
      </w:r>
      <w:r w:rsidRPr="00970072">
        <w:rPr>
          <w:rFonts w:asciiTheme="majorHAnsi" w:hAnsiTheme="majorHAnsi" w:cstheme="majorHAnsi"/>
          <w:b/>
          <w:bCs/>
          <w:i w:val="0"/>
          <w:iCs w:val="0"/>
          <w:color w:val="538135" w:themeColor="accent6" w:themeShade="BF"/>
          <w:sz w:val="24"/>
          <w:szCs w:val="24"/>
          <w:lang w:val="el-GR"/>
        </w:rPr>
        <w:t xml:space="preserve">. Διαχρονική εξέλιξη του ποσοστού πληθυσμού σε κίνδυνο φτώχειας και κατάσταση αναπηρίας </w:t>
      </w:r>
      <w:r w:rsidR="00970072">
        <w:rPr>
          <w:rFonts w:asciiTheme="majorHAnsi" w:hAnsiTheme="majorHAnsi" w:cstheme="majorHAnsi"/>
          <w:b/>
          <w:bCs/>
          <w:i w:val="0"/>
          <w:iCs w:val="0"/>
          <w:color w:val="538135" w:themeColor="accent6" w:themeShade="BF"/>
          <w:sz w:val="24"/>
          <w:szCs w:val="24"/>
          <w:lang w:val="el-GR"/>
        </w:rPr>
        <w:br/>
      </w:r>
      <w:r w:rsidRPr="00970072">
        <w:rPr>
          <w:rFonts w:asciiTheme="majorHAnsi" w:hAnsiTheme="majorHAnsi" w:cstheme="majorHAnsi"/>
          <w:b/>
          <w:bCs/>
          <w:i w:val="0"/>
          <w:iCs w:val="0"/>
          <w:color w:val="538135" w:themeColor="accent6" w:themeShade="BF"/>
          <w:sz w:val="24"/>
          <w:szCs w:val="24"/>
          <w:lang w:val="el-GR"/>
        </w:rPr>
        <w:t>(Σοβαρή αναπηρία/χωρίς αναπηρία</w:t>
      </w:r>
      <w:r w:rsidR="00970072">
        <w:rPr>
          <w:rFonts w:asciiTheme="majorHAnsi" w:hAnsiTheme="majorHAnsi" w:cstheme="majorHAnsi"/>
          <w:b/>
          <w:bCs/>
          <w:i w:val="0"/>
          <w:iCs w:val="0"/>
          <w:color w:val="538135" w:themeColor="accent6" w:themeShade="BF"/>
          <w:sz w:val="24"/>
          <w:szCs w:val="24"/>
          <w:lang w:val="el-GR"/>
        </w:rPr>
        <w:t xml:space="preserve"> </w:t>
      </w:r>
      <w:r w:rsidRPr="00970072">
        <w:rPr>
          <w:rFonts w:asciiTheme="majorHAnsi" w:hAnsiTheme="majorHAnsi" w:cstheme="majorHAnsi"/>
          <w:b/>
          <w:bCs/>
          <w:i w:val="0"/>
          <w:iCs w:val="0"/>
          <w:color w:val="538135" w:themeColor="accent6" w:themeShade="BF"/>
          <w:sz w:val="24"/>
          <w:szCs w:val="24"/>
          <w:lang w:val="el-GR"/>
        </w:rPr>
        <w:t xml:space="preserve"> ανά ομάδα ηλικίας</w:t>
      </w:r>
      <w:bookmarkEnd w:id="27"/>
      <w:bookmarkEnd w:id="28"/>
      <w:r w:rsidR="00970072">
        <w:rPr>
          <w:rFonts w:asciiTheme="majorHAnsi" w:hAnsiTheme="majorHAnsi" w:cstheme="majorHAnsi"/>
          <w:b/>
          <w:bCs/>
          <w:i w:val="0"/>
          <w:iCs w:val="0"/>
          <w:color w:val="538135" w:themeColor="accent6" w:themeShade="BF"/>
          <w:sz w:val="24"/>
          <w:szCs w:val="24"/>
          <w:lang w:val="el-GR"/>
        </w:rPr>
        <w:t>)</w:t>
      </w:r>
    </w:p>
    <w:p w14:paraId="1D7CB51E" w14:textId="0438C778" w:rsidR="003677F5" w:rsidRPr="002024FE" w:rsidRDefault="00970072" w:rsidP="003677F5">
      <w:pPr>
        <w:rPr>
          <w:lang w:val="el-GR"/>
        </w:rPr>
      </w:pPr>
      <w:r>
        <w:rPr>
          <w:noProof/>
        </w:rPr>
        <w:drawing>
          <wp:inline distT="0" distB="0" distL="0" distR="0" wp14:anchorId="11490683" wp14:editId="79547D88">
            <wp:extent cx="5579745" cy="3771900"/>
            <wp:effectExtent l="0" t="0" r="1905" b="0"/>
            <wp:docPr id="721111431" name="Chart 1" descr="2014: 29,5 Σοβαρή αναπηρία 16 έως 64 ετών, 18,3 Σοβαρή αναπηρία 65 ετών και άνω, 12,7 Χωρίς αναπηρία 65 ετών και άνω, 23,2 Χωρίς αναπηρία 16έως 64 ετών.&#10;&#10;2015: 27,9 Σοβαρή αναπηρία 16 έως 64 ετών, 18,1 Σοβαρή αναπηρία 65 ετών και άνω, 10,7 Χωρίς αναπηρία 65 ετών και άνω, 21,9 Χωρίς αναπηρία 16έως 64 ετών.&#10;&#10;2016: 24,8 Σοβαρή αναπηρία 16 έως 64 ετών, 15,0 Σοβαρή αναπηρία 65 ετών και άνω, 10,5 Χωρίς αναπηρία 65 ετών και άνω, 22,3 Χωρίς αναπηρία 16έως 64 ετών.&#10;&#10;2017: 29,4 Σοβαρή αναπηρία 16 έως 64 ετών, 15,4 Σοβαρή αναπηρία 65 ετών και άνω, 10,7 Χωρίς αναπηρία 65 ετών και άνω, 20,9 Χωρίς αναπηρία 16έως 64 ετών.&#10;&#10;2018: 29,1 Σοβαρή αναπηρία 16 έως 64 ετών, 13,2 Σοβαρή αναπηρία 65 ετών και άνω, 10,0 Χωρίς αναπηρία 65 ετών και άνω, 19,2 Χωρίς αναπηρία 16έως 64 ετών.&#10;&#10;2019: 26,9 Σοβαρή αναπηρία 16 έως 64 ετών, 14,4 Σοβαρή αναπηρία 65 ετών και άνω, 9,4 Χωρίς αναπηρία 65 ετών και άνω, 18,2 Χωρίς αναπηρία 16έως 64 ετών.&#10;&#10;2020: 26,6 Σοβαρή αναπηρία 16 έως 64 ετών, 16,3 Σοβαρή αναπηρία 65 ετών και άνω, 11,0 Χωρίς αναπηρία 65 ετών και άνω, 17,8 Χωρίς αναπηρία 16έως 64 ετών.&#10;&#10;2021: 25,9 Σοβαρή αναπηρία 16 έως 64 ετών, 15,8 Σοβαρή αναπηρία 65 ετών και άνω, 11,4 Χωρίς αναπηρία 65 ετών και άνω, 20,2 Χωρίς αναπηρία 16έως 64 ετών.&#10;&#10;2022: 27,4 Σοβαρή αναπηρία 16 έως 64 ετών, 20,4 Σοβαρή αναπηρία 65 ετών και άνω, 13,8 Χωρίς αναπηρία 65 ετών και άνω, 18,4 Χωρίς αναπηρία 16έως 64 ετών.&#10;&#10;2023: 24,2 Σοβαρή αναπηρία 16 έως 64 ετών, 20,3 Σοβαρή αναπηρία 65 ετών και άνω, 15,1 Χωρίς αναπηρία 65 ετών και άνω, 18,5 Χωρίς αναπηρία 16έως 64 ετών.">
              <a:extLst xmlns:a="http://schemas.openxmlformats.org/drawingml/2006/main">
                <a:ext uri="{FF2B5EF4-FFF2-40B4-BE49-F238E27FC236}">
                  <a16:creationId xmlns:a16="http://schemas.microsoft.com/office/drawing/2014/main" id="{FAD6E7A7-0628-4251-AE8D-748F0054B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C26E3D" w14:textId="77777777" w:rsidR="00970072" w:rsidRPr="00CA7C8B" w:rsidRDefault="00970072" w:rsidP="00970072">
      <w:pPr>
        <w:pStyle w:val="a4"/>
        <w:spacing w:after="240"/>
        <w:ind w:left="142" w:right="282"/>
        <w:jc w:val="center"/>
        <w:rPr>
          <w:color w:val="538135" w:themeColor="accent6" w:themeShade="BF"/>
          <w:lang w:val="el-GR"/>
        </w:rPr>
      </w:pPr>
      <w:r w:rsidRPr="00CA7C8B">
        <w:rPr>
          <w:color w:val="538135" w:themeColor="accent6" w:themeShade="BF"/>
          <w:lang w:val="el-GR"/>
        </w:rPr>
        <w:t xml:space="preserve">Πηγή δεδομένων: </w:t>
      </w:r>
      <w:r w:rsidRPr="00CA7C8B">
        <w:rPr>
          <w:color w:val="538135" w:themeColor="accent6" w:themeShade="BF"/>
          <w:lang w:val="en-GB"/>
        </w:rPr>
        <w:t>Eurostat</w:t>
      </w:r>
      <w:r w:rsidRPr="000655AA">
        <w:rPr>
          <w:color w:val="538135" w:themeColor="accent6" w:themeShade="BF"/>
          <w:lang w:val="el-GR"/>
        </w:rPr>
        <w:t xml:space="preserve"> </w:t>
      </w:r>
      <w:r w:rsidRPr="00CA7C8B">
        <w:rPr>
          <w:color w:val="538135" w:themeColor="accent6" w:themeShade="BF"/>
          <w:lang w:val="en-GB"/>
        </w:rPr>
        <w:t>database</w:t>
      </w:r>
      <w:r w:rsidRPr="000655AA">
        <w:rPr>
          <w:color w:val="538135" w:themeColor="accent6" w:themeShade="BF"/>
          <w:lang w:val="el-GR"/>
        </w:rPr>
        <w:t xml:space="preserve">, </w:t>
      </w:r>
      <w:r w:rsidRPr="00CA7C8B">
        <w:rPr>
          <w:color w:val="538135" w:themeColor="accent6" w:themeShade="BF"/>
          <w:lang w:val="en-GB"/>
        </w:rPr>
        <w:t>EU</w:t>
      </w:r>
      <w:r w:rsidRPr="000655AA">
        <w:rPr>
          <w:color w:val="538135" w:themeColor="accent6" w:themeShade="BF"/>
          <w:lang w:val="el-GR"/>
        </w:rPr>
        <w:t>-</w:t>
      </w:r>
      <w:r w:rsidRPr="00CA7C8B">
        <w:rPr>
          <w:color w:val="538135" w:themeColor="accent6" w:themeShade="BF"/>
          <w:lang w:val="en-GB"/>
        </w:rPr>
        <w:t>SILC</w:t>
      </w:r>
      <w:r w:rsidRPr="000655AA">
        <w:rPr>
          <w:color w:val="538135" w:themeColor="accent6" w:themeShade="BF"/>
          <w:lang w:val="el-GR"/>
        </w:rPr>
        <w:t xml:space="preserve"> (</w:t>
      </w:r>
      <w:r w:rsidRPr="00CA7C8B">
        <w:rPr>
          <w:color w:val="538135" w:themeColor="accent6" w:themeShade="BF"/>
          <w:lang w:val="en-GB"/>
        </w:rPr>
        <w:t>Statistics</w:t>
      </w:r>
      <w:r w:rsidRPr="000655AA">
        <w:rPr>
          <w:color w:val="538135" w:themeColor="accent6" w:themeShade="BF"/>
          <w:lang w:val="el-GR"/>
        </w:rPr>
        <w:t xml:space="preserve"> </w:t>
      </w:r>
      <w:r w:rsidRPr="00CA7C8B">
        <w:rPr>
          <w:color w:val="538135" w:themeColor="accent6" w:themeShade="BF"/>
          <w:lang w:val="en-GB"/>
        </w:rPr>
        <w:t>on</w:t>
      </w:r>
      <w:r w:rsidRPr="000655AA">
        <w:rPr>
          <w:color w:val="538135" w:themeColor="accent6" w:themeShade="BF"/>
          <w:lang w:val="el-GR"/>
        </w:rPr>
        <w:t xml:space="preserve"> </w:t>
      </w:r>
      <w:r w:rsidRPr="00CA7C8B">
        <w:rPr>
          <w:color w:val="538135" w:themeColor="accent6" w:themeShade="BF"/>
          <w:lang w:val="en-GB"/>
        </w:rPr>
        <w:t>Income</w:t>
      </w:r>
      <w:r w:rsidRPr="000655AA">
        <w:rPr>
          <w:color w:val="538135" w:themeColor="accent6" w:themeShade="BF"/>
          <w:lang w:val="el-GR"/>
        </w:rPr>
        <w:t xml:space="preserve"> </w:t>
      </w:r>
      <w:r w:rsidRPr="00CA7C8B">
        <w:rPr>
          <w:color w:val="538135" w:themeColor="accent6" w:themeShade="BF"/>
          <w:lang w:val="en-GB"/>
        </w:rPr>
        <w:t>and</w:t>
      </w:r>
      <w:r w:rsidRPr="000655AA">
        <w:rPr>
          <w:color w:val="538135" w:themeColor="accent6" w:themeShade="BF"/>
          <w:lang w:val="el-GR"/>
        </w:rPr>
        <w:t xml:space="preserve"> </w:t>
      </w:r>
      <w:r w:rsidRPr="00CA7C8B">
        <w:rPr>
          <w:color w:val="538135" w:themeColor="accent6" w:themeShade="BF"/>
          <w:lang w:val="en-GB"/>
        </w:rPr>
        <w:t>Living</w:t>
      </w:r>
      <w:r w:rsidRPr="000655AA">
        <w:rPr>
          <w:color w:val="538135" w:themeColor="accent6" w:themeShade="BF"/>
          <w:lang w:val="el-GR"/>
        </w:rPr>
        <w:t xml:space="preserve"> </w:t>
      </w:r>
      <w:r w:rsidRPr="00CA7C8B">
        <w:rPr>
          <w:color w:val="538135" w:themeColor="accent6" w:themeShade="BF"/>
          <w:lang w:val="en-GB"/>
        </w:rPr>
        <w:t>Conditions</w:t>
      </w:r>
      <w:r w:rsidRPr="000655AA">
        <w:rPr>
          <w:color w:val="538135" w:themeColor="accent6" w:themeShade="BF"/>
          <w:lang w:val="el-GR"/>
        </w:rPr>
        <w:t>)</w:t>
      </w:r>
      <w:r w:rsidRPr="00CA7C8B">
        <w:rPr>
          <w:color w:val="538135" w:themeColor="accent6" w:themeShade="BF"/>
          <w:lang w:val="el-GR"/>
        </w:rPr>
        <w:br/>
        <w:t>Επεξεργασία δεδομένων: Παρατηρητήριο Θεμάτων Αναπηρίας</w:t>
      </w:r>
    </w:p>
    <w:p w14:paraId="134F5486" w14:textId="6575E5FF" w:rsidR="003677F5" w:rsidRDefault="003677F5" w:rsidP="00817968">
      <w:pPr>
        <w:spacing w:before="360"/>
        <w:jc w:val="both"/>
        <w:rPr>
          <w:rFonts w:cstheme="minorHAnsi"/>
          <w:sz w:val="24"/>
          <w:szCs w:val="24"/>
          <w:lang w:val="el-GR"/>
        </w:rPr>
      </w:pPr>
      <w:r w:rsidRPr="00FA391B">
        <w:rPr>
          <w:rFonts w:cstheme="minorHAnsi"/>
          <w:sz w:val="24"/>
          <w:szCs w:val="24"/>
          <w:lang w:val="el-GR"/>
        </w:rPr>
        <w:t xml:space="preserve">Ο δείκτης φτώχειας στα άτομα με σοβαρή αναπηρία και ηλικία 16 έως 64 ετών </w:t>
      </w:r>
      <w:r w:rsidR="00FA391B" w:rsidRPr="00FA391B">
        <w:rPr>
          <w:rFonts w:cstheme="minorHAnsi"/>
          <w:sz w:val="24"/>
          <w:szCs w:val="24"/>
          <w:lang w:val="el-GR"/>
        </w:rPr>
        <w:t>υπολογίστηκε σε 24,2% το 2023 έναντι του 18,5% των ατόμων χωρίς αναπηρία. Αντίστοιχα τα άτομα με αναπηρία 65+ βρέθηκαν να είναι στο φάσμα της φτώχειας ή/και του κοινωνικού αποκλεισμού σε ποσοστό 20,3% έναντι του 15,1% των ατόμων της ίδιας ηλικίας χωρίς αναπηρία.</w:t>
      </w:r>
    </w:p>
    <w:p w14:paraId="0EABCAD8" w14:textId="47AA25B8" w:rsidR="003677F5" w:rsidRPr="007D3F7F" w:rsidRDefault="003677F5" w:rsidP="003677F5">
      <w:pPr>
        <w:jc w:val="both"/>
        <w:rPr>
          <w:rFonts w:cstheme="minorHAnsi"/>
          <w:sz w:val="24"/>
          <w:szCs w:val="24"/>
          <w:lang w:val="el-GR"/>
        </w:rPr>
      </w:pPr>
      <w:bookmarkStart w:id="29" w:name="_Hlk134908811"/>
      <w:r w:rsidRPr="00E1262F">
        <w:rPr>
          <w:rFonts w:cstheme="minorHAnsi"/>
          <w:sz w:val="24"/>
          <w:szCs w:val="24"/>
          <w:lang w:val="el-GR"/>
        </w:rPr>
        <w:t>Σημαντικό εύρημα που ήδη διαπιστώθηκε στην εξέταση του σύνθετου δείκτη αποτελεί η σημαντική αυξητική τάση του ποσοστού ατόμων με ηλικία 65+ που βρίσκονται στο φάσμα της φτώχειας</w:t>
      </w:r>
      <w:r w:rsidR="00E1262F">
        <w:rPr>
          <w:rFonts w:cstheme="minorHAnsi"/>
          <w:sz w:val="24"/>
          <w:szCs w:val="24"/>
          <w:lang w:val="el-GR"/>
        </w:rPr>
        <w:t xml:space="preserve">. Η τάση αυτή εκδηλώνεται κατά το διάστημα 2019 με 2023 και ισχύει </w:t>
      </w:r>
      <w:r w:rsidR="003D7554">
        <w:rPr>
          <w:rFonts w:cstheme="minorHAnsi"/>
          <w:sz w:val="24"/>
          <w:szCs w:val="24"/>
          <w:lang w:val="el-GR"/>
        </w:rPr>
        <w:t>ανεξάρτητα από την κατάστασης της αναπηρίας</w:t>
      </w:r>
      <w:r w:rsidR="00E1262F">
        <w:rPr>
          <w:rFonts w:cstheme="minorHAnsi"/>
          <w:sz w:val="24"/>
          <w:szCs w:val="24"/>
          <w:lang w:val="el-GR"/>
        </w:rPr>
        <w:t xml:space="preserve">, για </w:t>
      </w:r>
      <w:r w:rsidR="003D7554">
        <w:rPr>
          <w:rFonts w:cstheme="minorHAnsi"/>
          <w:sz w:val="24"/>
          <w:szCs w:val="24"/>
          <w:lang w:val="el-GR"/>
        </w:rPr>
        <w:t>όλο</w:t>
      </w:r>
      <w:r w:rsidR="00E1262F">
        <w:rPr>
          <w:rFonts w:cstheme="minorHAnsi"/>
          <w:sz w:val="24"/>
          <w:szCs w:val="24"/>
          <w:lang w:val="el-GR"/>
        </w:rPr>
        <w:t>ν</w:t>
      </w:r>
      <w:r w:rsidR="003D7554">
        <w:rPr>
          <w:rFonts w:cstheme="minorHAnsi"/>
          <w:sz w:val="24"/>
          <w:szCs w:val="24"/>
          <w:lang w:val="el-GR"/>
        </w:rPr>
        <w:t xml:space="preserve"> τον πληθυσμό με ηλικία 65 ετών και άνω. </w:t>
      </w:r>
      <w:bookmarkStart w:id="30" w:name="_Hlk185239758"/>
      <w:bookmarkStart w:id="31" w:name="_Hlk185240079"/>
      <w:r w:rsidR="00E1262F">
        <w:rPr>
          <w:rFonts w:cstheme="minorHAnsi"/>
          <w:sz w:val="24"/>
          <w:szCs w:val="24"/>
          <w:lang w:val="el-GR"/>
        </w:rPr>
        <w:t xml:space="preserve">Στα άτομα με άτομα με σοβαρή αναπηρία ηλικίας 65 + το ποσοστό κινδύνου φτώχειας αυξάνεται κατά 7 ποσοστιαίες μονάδες μεταξύ των ετών 2018 και 2023. </w:t>
      </w:r>
      <w:bookmarkEnd w:id="29"/>
      <w:bookmarkEnd w:id="30"/>
      <w:r w:rsidRPr="007D3F7F">
        <w:rPr>
          <w:rFonts w:cstheme="minorHAnsi"/>
          <w:sz w:val="24"/>
          <w:szCs w:val="24"/>
          <w:lang w:val="el-GR"/>
        </w:rPr>
        <w:t xml:space="preserve">Δεδομένης της μικρής μεταβλητότητας του εν λόγω δείκτη ο οποίος εξαρτάται απόλυτα από τη συνολική κατανομή του εισοδήματος, η </w:t>
      </w:r>
      <w:proofErr w:type="spellStart"/>
      <w:r w:rsidRPr="007D3F7F">
        <w:rPr>
          <w:rFonts w:cstheme="minorHAnsi"/>
          <w:sz w:val="24"/>
          <w:szCs w:val="24"/>
          <w:lang w:val="el-GR"/>
        </w:rPr>
        <w:t>καταγραφείσα</w:t>
      </w:r>
      <w:proofErr w:type="spellEnd"/>
      <w:r w:rsidRPr="007D3F7F">
        <w:rPr>
          <w:rFonts w:cstheme="minorHAnsi"/>
          <w:sz w:val="24"/>
          <w:szCs w:val="24"/>
          <w:lang w:val="el-GR"/>
        </w:rPr>
        <w:t xml:space="preserve"> μεταβολή είναι ιδιαίτερα σοβαρή.</w:t>
      </w:r>
    </w:p>
    <w:p w14:paraId="66A323F9" w14:textId="77777777" w:rsidR="003677F5" w:rsidRPr="00817968" w:rsidRDefault="003677F5" w:rsidP="00817968">
      <w:pPr>
        <w:pStyle w:val="2"/>
        <w:spacing w:before="360" w:after="480"/>
        <w:ind w:left="578" w:right="-142" w:hanging="578"/>
        <w:jc w:val="left"/>
        <w:rPr>
          <w:rFonts w:asciiTheme="minorHAnsi" w:hAnsiTheme="minorHAnsi" w:cstheme="minorHAnsi"/>
          <w:color w:val="auto"/>
        </w:rPr>
      </w:pPr>
      <w:bookmarkStart w:id="32" w:name="_Toc135310542"/>
      <w:bookmarkStart w:id="33" w:name="_Toc185524535"/>
      <w:bookmarkEnd w:id="31"/>
      <w:r w:rsidRPr="00817968">
        <w:rPr>
          <w:rFonts w:asciiTheme="minorHAnsi" w:hAnsiTheme="minorHAnsi" w:cstheme="minorHAnsi"/>
          <w:color w:val="auto"/>
        </w:rPr>
        <w:lastRenderedPageBreak/>
        <w:t>Πληθυσμός με σοβαρές υλικές και κοινωνικές στερήσεις (Europe 2030)</w:t>
      </w:r>
      <w:bookmarkEnd w:id="32"/>
      <w:bookmarkEnd w:id="33"/>
    </w:p>
    <w:p w14:paraId="1BA80530" w14:textId="77777777" w:rsidR="003677F5" w:rsidRPr="005C568D" w:rsidRDefault="003677F5" w:rsidP="003677F5">
      <w:pPr>
        <w:jc w:val="both"/>
        <w:rPr>
          <w:sz w:val="24"/>
          <w:szCs w:val="24"/>
          <w:lang w:val="el-GR"/>
        </w:rPr>
      </w:pPr>
      <w:r w:rsidRPr="005C568D">
        <w:rPr>
          <w:sz w:val="24"/>
          <w:szCs w:val="24"/>
          <w:lang w:val="el-GR"/>
        </w:rPr>
        <w:t>Ο δείκτης «</w:t>
      </w:r>
      <w:bookmarkStart w:id="34" w:name="_Hlk134911940"/>
      <w:r w:rsidRPr="005C568D">
        <w:rPr>
          <w:sz w:val="24"/>
          <w:szCs w:val="24"/>
          <w:lang w:val="el-GR"/>
        </w:rPr>
        <w:t>ποσοστό πληθυσμού με σοβαρές υλικές και κοινωνικές στερήσεις</w:t>
      </w:r>
      <w:bookmarkEnd w:id="34"/>
      <w:r w:rsidRPr="005C568D">
        <w:rPr>
          <w:sz w:val="24"/>
          <w:szCs w:val="24"/>
          <w:lang w:val="el-GR"/>
        </w:rPr>
        <w:t>» εκτιμά τα επίπεδα διαβίωσης μετρώντας το ποσοστό του πληθυσμού που στερείται τουλάχιστον 7 από ένα κατάλογο 13 αγαθών και υπηρεσιών (6 σχετίζονται με το άτομο και 7 σχετικά με το νοικοκυριό).</w:t>
      </w:r>
    </w:p>
    <w:p w14:paraId="17DBD456" w14:textId="77777777" w:rsidR="003677F5" w:rsidRPr="00817968" w:rsidRDefault="003677F5" w:rsidP="003677F5">
      <w:pPr>
        <w:pBdr>
          <w:top w:val="single" w:sz="4" w:space="1" w:color="auto"/>
          <w:left w:val="single" w:sz="4" w:space="4" w:color="auto"/>
          <w:bottom w:val="single" w:sz="4" w:space="1" w:color="auto"/>
          <w:right w:val="single" w:sz="4" w:space="4" w:color="auto"/>
        </w:pBdr>
        <w:shd w:val="clear" w:color="auto" w:fill="D0CECE" w:themeFill="background2" w:themeFillShade="E6"/>
        <w:spacing w:after="240"/>
        <w:ind w:left="142"/>
        <w:jc w:val="center"/>
        <w:rPr>
          <w:rFonts w:asciiTheme="majorHAnsi" w:eastAsia="Times New Roman" w:hAnsiTheme="majorHAnsi" w:cstheme="majorHAnsi"/>
          <w:b/>
          <w:bCs/>
          <w:sz w:val="28"/>
          <w:szCs w:val="28"/>
          <w:u w:val="single"/>
          <w:lang w:val="el-GR" w:eastAsia="de-DE"/>
        </w:rPr>
      </w:pPr>
      <w:r w:rsidRPr="00817968">
        <w:rPr>
          <w:rFonts w:asciiTheme="majorHAnsi" w:eastAsia="Times New Roman" w:hAnsiTheme="majorHAnsi" w:cstheme="majorHAnsi"/>
          <w:b/>
          <w:bCs/>
          <w:sz w:val="28"/>
          <w:szCs w:val="28"/>
          <w:u w:val="single"/>
          <w:lang w:val="el-GR" w:eastAsia="de-DE"/>
        </w:rPr>
        <w:t>ΚΑΤΑΛΟΓΟΣ ΑΓΑΘΩΝ ΚΑΙ ΥΠΗΡΕΣΙΩΝ ΔΕΙΚΤΗ ΥΛΙΚΩΝ ΚΑΙ ΚΟΙΝΩΝΙΚΩΝ ΣΤΕΡΗΣΕΩΝ</w:t>
      </w:r>
    </w:p>
    <w:p w14:paraId="676DAF2C" w14:textId="77777777" w:rsidR="003677F5" w:rsidRPr="005108B6" w:rsidRDefault="003677F5" w:rsidP="003677F5">
      <w:pPr>
        <w:pBdr>
          <w:top w:val="single" w:sz="4" w:space="1" w:color="auto"/>
          <w:left w:val="single" w:sz="4" w:space="4" w:color="auto"/>
          <w:bottom w:val="single" w:sz="4" w:space="1" w:color="auto"/>
          <w:right w:val="single" w:sz="4" w:space="4" w:color="auto"/>
        </w:pBdr>
        <w:shd w:val="clear" w:color="auto" w:fill="D0CECE" w:themeFill="background2" w:themeFillShade="E6"/>
        <w:spacing w:after="100"/>
        <w:ind w:left="142"/>
        <w:jc w:val="both"/>
        <w:rPr>
          <w:rFonts w:asciiTheme="majorHAnsi" w:eastAsia="Times New Roman" w:hAnsiTheme="majorHAnsi" w:cstheme="majorHAnsi"/>
          <w:b/>
          <w:bCs/>
          <w:sz w:val="23"/>
          <w:szCs w:val="23"/>
          <w:lang w:val="el-GR" w:eastAsia="de-DE"/>
        </w:rPr>
      </w:pPr>
      <w:r w:rsidRPr="005108B6">
        <w:rPr>
          <w:rFonts w:asciiTheme="majorHAnsi" w:eastAsia="Times New Roman" w:hAnsiTheme="majorHAnsi" w:cstheme="majorHAnsi"/>
          <w:b/>
          <w:bCs/>
          <w:sz w:val="23"/>
          <w:szCs w:val="23"/>
          <w:lang w:val="el-GR" w:eastAsia="de-DE"/>
        </w:rPr>
        <w:t>Στερήσεις σε επίπεδο νοικοκυριού</w:t>
      </w:r>
    </w:p>
    <w:p w14:paraId="75E61335" w14:textId="326BFB17"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426" w:hanging="284"/>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Δυσκολίες ανταπόκρισης στην πληρωμή πάγιων λογαριασμών όπως ενοίκιο ή δόση δανείου</w:t>
      </w:r>
      <w:r w:rsidR="00A95AA2" w:rsidRPr="005108B6">
        <w:rPr>
          <w:rFonts w:asciiTheme="majorHAnsi" w:hAnsiTheme="majorHAnsi" w:cstheme="majorHAnsi"/>
          <w:sz w:val="23"/>
          <w:szCs w:val="23"/>
          <w:lang w:val="el-GR"/>
        </w:rPr>
        <w:t>,</w:t>
      </w:r>
      <w:r w:rsidRPr="005108B6">
        <w:rPr>
          <w:rFonts w:asciiTheme="majorHAnsi" w:hAnsiTheme="majorHAnsi" w:cstheme="majorHAnsi"/>
          <w:sz w:val="23"/>
          <w:szCs w:val="23"/>
          <w:lang w:val="el-GR"/>
        </w:rPr>
        <w:t xml:space="preserve"> της κύριας κατοικίας, λογαριασμοί ηλεκτρικού ρεύματος, νερού, αερίου κ</w:t>
      </w:r>
      <w:r w:rsidR="00FC3ACB" w:rsidRPr="005108B6">
        <w:rPr>
          <w:rFonts w:asciiTheme="majorHAnsi" w:hAnsiTheme="majorHAnsi" w:cstheme="majorHAnsi"/>
          <w:sz w:val="23"/>
          <w:szCs w:val="23"/>
          <w:lang w:val="el-GR"/>
        </w:rPr>
        <w:t>.</w:t>
      </w:r>
      <w:r w:rsidRPr="005108B6">
        <w:rPr>
          <w:rFonts w:asciiTheme="majorHAnsi" w:hAnsiTheme="majorHAnsi" w:cstheme="majorHAnsi"/>
          <w:sz w:val="23"/>
          <w:szCs w:val="23"/>
          <w:lang w:val="el-GR"/>
        </w:rPr>
        <w:t>λπ., δόσεις πιστωτικών καρτών ή δόσεις δανείου για οικοσκευή, διακοπές κ.ά., ή αγορές με δόσεις</w:t>
      </w:r>
      <w:r w:rsidR="00FA1499" w:rsidRPr="005108B6">
        <w:rPr>
          <w:rFonts w:asciiTheme="majorHAnsi" w:hAnsiTheme="majorHAnsi" w:cstheme="majorHAnsi"/>
          <w:sz w:val="23"/>
          <w:szCs w:val="23"/>
          <w:lang w:val="el-GR"/>
        </w:rPr>
        <w:t>.</w:t>
      </w:r>
    </w:p>
    <w:p w14:paraId="167BCB7F" w14:textId="32329B15"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426" w:hanging="284"/>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πληρωμή μιας εβδομάδας διακοπών</w:t>
      </w:r>
      <w:r w:rsidR="00FA1499" w:rsidRPr="005108B6">
        <w:rPr>
          <w:rFonts w:asciiTheme="majorHAnsi" w:hAnsiTheme="majorHAnsi" w:cstheme="majorHAnsi"/>
          <w:sz w:val="23"/>
          <w:szCs w:val="23"/>
          <w:lang w:val="el-GR"/>
        </w:rPr>
        <w:t>.</w:t>
      </w:r>
    </w:p>
    <w:p w14:paraId="263A88B3" w14:textId="5A744686"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426" w:hanging="284"/>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διατροφή που να περιλαμβάνει κάθε δεύτερη ημέρα κοτόπουλο, κρέας, ψάρι ή λαχανικά ίσης θρεπτικής αξίας</w:t>
      </w:r>
      <w:r w:rsidR="00FA1499" w:rsidRPr="005108B6">
        <w:rPr>
          <w:rFonts w:asciiTheme="majorHAnsi" w:hAnsiTheme="majorHAnsi" w:cstheme="majorHAnsi"/>
          <w:sz w:val="23"/>
          <w:szCs w:val="23"/>
          <w:lang w:val="el-GR"/>
        </w:rPr>
        <w:t>.</w:t>
      </w:r>
    </w:p>
    <w:p w14:paraId="2E9B1265" w14:textId="2872A39C"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426" w:hanging="284"/>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αντιμετώπιση έκτακτων, αλλά αναγκαίων δαπανών</w:t>
      </w:r>
      <w:r w:rsidR="00537E9A" w:rsidRPr="005108B6">
        <w:rPr>
          <w:rFonts w:asciiTheme="majorHAnsi" w:hAnsiTheme="majorHAnsi" w:cstheme="majorHAnsi"/>
          <w:sz w:val="23"/>
          <w:szCs w:val="23"/>
          <w:lang w:val="el-GR"/>
        </w:rPr>
        <w:t>.</w:t>
      </w:r>
    </w:p>
    <w:p w14:paraId="0E1D7E97" w14:textId="50FB6D04"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426" w:hanging="284"/>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να διαθέτουν ΙΧ επιβατηγό αυτοκίνητο</w:t>
      </w:r>
      <w:r w:rsidR="00537E9A" w:rsidRPr="005108B6">
        <w:rPr>
          <w:rFonts w:asciiTheme="majorHAnsi" w:hAnsiTheme="majorHAnsi" w:cstheme="majorHAnsi"/>
          <w:sz w:val="23"/>
          <w:szCs w:val="23"/>
          <w:lang w:val="el-GR"/>
        </w:rPr>
        <w:t>.</w:t>
      </w:r>
    </w:p>
    <w:p w14:paraId="1C8E2ECA" w14:textId="58920805"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426" w:hanging="284"/>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ικανοποιητική θέρμανση το χειμώνα και δροσιά το καλοκαίρι</w:t>
      </w:r>
      <w:r w:rsidR="00537E9A" w:rsidRPr="005108B6">
        <w:rPr>
          <w:rFonts w:asciiTheme="majorHAnsi" w:hAnsiTheme="majorHAnsi" w:cstheme="majorHAnsi"/>
          <w:sz w:val="23"/>
          <w:szCs w:val="23"/>
          <w:lang w:val="el-GR"/>
        </w:rPr>
        <w:t>.</w:t>
      </w:r>
    </w:p>
    <w:p w14:paraId="15A5BD3F" w14:textId="46560684"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426" w:hanging="284"/>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αντικατάσταση επίπλων όταν αυτά φθείρονται ή καταστρέφονται</w:t>
      </w:r>
      <w:r w:rsidR="00FC3ACB" w:rsidRPr="005108B6">
        <w:rPr>
          <w:rFonts w:asciiTheme="majorHAnsi" w:hAnsiTheme="majorHAnsi" w:cstheme="majorHAnsi"/>
          <w:sz w:val="23"/>
          <w:szCs w:val="23"/>
          <w:lang w:val="el-GR"/>
        </w:rPr>
        <w:t>.</w:t>
      </w:r>
    </w:p>
    <w:p w14:paraId="1259E6C4" w14:textId="77777777" w:rsidR="003677F5" w:rsidRPr="005108B6" w:rsidRDefault="003677F5" w:rsidP="00817968">
      <w:pPr>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100"/>
        <w:ind w:left="567" w:hanging="425"/>
        <w:rPr>
          <w:rFonts w:asciiTheme="majorHAnsi" w:hAnsiTheme="majorHAnsi" w:cstheme="majorHAnsi"/>
          <w:sz w:val="23"/>
          <w:szCs w:val="23"/>
          <w:lang w:val="el-GR"/>
        </w:rPr>
      </w:pPr>
      <w:r w:rsidRPr="005108B6">
        <w:rPr>
          <w:rFonts w:asciiTheme="majorHAnsi" w:eastAsia="Times New Roman" w:hAnsiTheme="majorHAnsi" w:cstheme="majorHAnsi"/>
          <w:b/>
          <w:bCs/>
          <w:sz w:val="23"/>
          <w:szCs w:val="23"/>
          <w:lang w:val="el-GR" w:eastAsia="de-DE"/>
        </w:rPr>
        <w:t>Στερήσεις σε επίπεδο μέλους του νοικοκυριού</w:t>
      </w:r>
    </w:p>
    <w:p w14:paraId="1DF6AE9E" w14:textId="2246A8A6"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567" w:hanging="425"/>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να έχει πρόσβαση στο διαδίκτυο</w:t>
      </w:r>
      <w:r w:rsidR="00A7250D" w:rsidRPr="005108B6">
        <w:rPr>
          <w:rFonts w:asciiTheme="majorHAnsi" w:hAnsiTheme="majorHAnsi" w:cstheme="majorHAnsi"/>
          <w:sz w:val="23"/>
          <w:szCs w:val="23"/>
          <w:lang w:val="el-GR"/>
        </w:rPr>
        <w:t>.</w:t>
      </w:r>
    </w:p>
    <w:p w14:paraId="1B95ACD5" w14:textId="0BC0A167"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567" w:hanging="425"/>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αντικατάσταση των φθαρμένων ρούχων με καινούργια</w:t>
      </w:r>
      <w:r w:rsidR="00A7250D" w:rsidRPr="005108B6">
        <w:rPr>
          <w:rFonts w:asciiTheme="majorHAnsi" w:hAnsiTheme="majorHAnsi" w:cstheme="majorHAnsi"/>
          <w:sz w:val="23"/>
          <w:szCs w:val="23"/>
          <w:lang w:val="el-GR"/>
        </w:rPr>
        <w:t>.</w:t>
      </w:r>
    </w:p>
    <w:p w14:paraId="58141B27" w14:textId="77FCAFA0"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567" w:hanging="425"/>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να έχει δύο ζευγάρια υποδήματα</w:t>
      </w:r>
      <w:r w:rsidR="00A7250D" w:rsidRPr="005108B6">
        <w:rPr>
          <w:rFonts w:asciiTheme="majorHAnsi" w:hAnsiTheme="majorHAnsi" w:cstheme="majorHAnsi"/>
          <w:sz w:val="23"/>
          <w:szCs w:val="23"/>
          <w:lang w:val="el-GR"/>
        </w:rPr>
        <w:t>.</w:t>
      </w:r>
    </w:p>
    <w:p w14:paraId="166294B7" w14:textId="33EA8AB5"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567" w:hanging="425"/>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να ξοδεύει χρήματα, σχεδόν κάθε εβδομάδα, για τον εαυτό του</w:t>
      </w:r>
      <w:r w:rsidR="00A7250D" w:rsidRPr="005108B6">
        <w:rPr>
          <w:rFonts w:asciiTheme="majorHAnsi" w:hAnsiTheme="majorHAnsi" w:cstheme="majorHAnsi"/>
          <w:sz w:val="23"/>
          <w:szCs w:val="23"/>
          <w:lang w:val="el-GR"/>
        </w:rPr>
        <w:t>.</w:t>
      </w:r>
    </w:p>
    <w:p w14:paraId="5EEFF962" w14:textId="47D805B7"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567" w:hanging="425"/>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συνάντηση με φίλους/συγγενείς για έναν καφέ/ποτό/γεύμα στο σπίτι τουλάχιστον μια φορά το μήνα</w:t>
      </w:r>
      <w:r w:rsidR="00A7250D" w:rsidRPr="005108B6">
        <w:rPr>
          <w:rFonts w:asciiTheme="majorHAnsi" w:hAnsiTheme="majorHAnsi" w:cstheme="majorHAnsi"/>
          <w:sz w:val="23"/>
          <w:szCs w:val="23"/>
          <w:lang w:val="el-GR"/>
        </w:rPr>
        <w:t>.</w:t>
      </w:r>
    </w:p>
    <w:p w14:paraId="373F1AB0" w14:textId="77777777"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567" w:hanging="425"/>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συμμετοχή τακτικά σε δραστηριότητες αναψυχής με πληρωμή αντιτίμου και</w:t>
      </w:r>
    </w:p>
    <w:p w14:paraId="0AEFB5F8" w14:textId="77777777" w:rsidR="003677F5" w:rsidRPr="005108B6" w:rsidRDefault="003677F5" w:rsidP="005108B6">
      <w:pPr>
        <w:pStyle w:val="af2"/>
        <w:numPr>
          <w:ilvl w:val="0"/>
          <w:numId w:val="2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100" w:line="240" w:lineRule="auto"/>
        <w:ind w:left="567" w:hanging="425"/>
        <w:contextualSpacing w:val="0"/>
        <w:rPr>
          <w:rFonts w:asciiTheme="majorHAnsi" w:hAnsiTheme="majorHAnsi" w:cstheme="majorHAnsi"/>
          <w:sz w:val="23"/>
          <w:szCs w:val="23"/>
          <w:lang w:val="el-GR"/>
        </w:rPr>
      </w:pPr>
      <w:r w:rsidRPr="005108B6">
        <w:rPr>
          <w:rFonts w:asciiTheme="majorHAnsi" w:hAnsiTheme="majorHAnsi" w:cstheme="majorHAnsi"/>
          <w:sz w:val="23"/>
          <w:szCs w:val="23"/>
          <w:lang w:val="el-GR"/>
        </w:rPr>
        <w:t>Οικονομική αδυναμία για αντικατάσταση επίπλων όταν αυτά φθείρονται ή καταστρέφονται.</w:t>
      </w:r>
    </w:p>
    <w:p w14:paraId="7FB5983F" w14:textId="571D04D8" w:rsidR="003677F5" w:rsidRPr="00054C3B" w:rsidRDefault="003677F5" w:rsidP="005108B6">
      <w:pPr>
        <w:spacing w:before="240"/>
        <w:jc w:val="both"/>
        <w:rPr>
          <w:sz w:val="24"/>
          <w:szCs w:val="24"/>
          <w:lang w:val="el-GR"/>
        </w:rPr>
      </w:pPr>
      <w:bookmarkStart w:id="35" w:name="_Hlk185241902"/>
      <w:bookmarkStart w:id="36" w:name="_Hlk134911994"/>
      <w:r w:rsidRPr="00054C3B">
        <w:rPr>
          <w:sz w:val="24"/>
          <w:szCs w:val="24"/>
          <w:lang w:val="el-GR"/>
        </w:rPr>
        <w:t>Το 2023, το 27,8%</w:t>
      </w:r>
      <w:r w:rsidR="00093E9D">
        <w:rPr>
          <w:sz w:val="24"/>
          <w:szCs w:val="24"/>
          <w:lang w:val="el-GR"/>
        </w:rPr>
        <w:t xml:space="preserve"> </w:t>
      </w:r>
      <w:r w:rsidRPr="00054C3B">
        <w:rPr>
          <w:sz w:val="24"/>
          <w:szCs w:val="24"/>
          <w:lang w:val="el-GR"/>
        </w:rPr>
        <w:t>των ατόμων με σοβαρή αναπηρία 16 έως 64 ετών και το 14,9% των ατόμων με σοβαρή αναπηρία 65 ετών και άνω αντιμετωπίζουν σοβαρές υλικές και κοινωνικές στερήσεις, ενώ στον πληθυσμό χωρίς αναπηρία τα ποσοστά αυτό ανέρχονται σε 12,3% (16-64 ετών) και 10% (65+) αντίστοιχα.</w:t>
      </w:r>
    </w:p>
    <w:bookmarkEnd w:id="35"/>
    <w:p w14:paraId="749EAA0F" w14:textId="77777777" w:rsidR="003677F5" w:rsidRDefault="003677F5" w:rsidP="003677F5">
      <w:pPr>
        <w:jc w:val="both"/>
        <w:rPr>
          <w:sz w:val="24"/>
          <w:szCs w:val="24"/>
          <w:lang w:val="el-GR"/>
        </w:rPr>
      </w:pPr>
      <w:r w:rsidRPr="00054C3B">
        <w:rPr>
          <w:sz w:val="24"/>
          <w:szCs w:val="24"/>
          <w:lang w:val="el-GR"/>
        </w:rPr>
        <w:lastRenderedPageBreak/>
        <w:t xml:space="preserve">Η διαχρονική εξέλιξη του δείκτη στα άτομα με σοβαρή αναπηρία καταδεικνύει </w:t>
      </w:r>
      <w:r>
        <w:rPr>
          <w:sz w:val="24"/>
          <w:szCs w:val="24"/>
          <w:lang w:val="el-GR"/>
        </w:rPr>
        <w:t xml:space="preserve">ότι στον πληθυσμό ηλικίας 16-64 ετών με σοβαρή αναπηρία, το ιδιαίτερα υψηλό επίπεδο υλικής και κοινωνικής στέρησης κατέγραψε τάση αποκλιμάκωσης κατά τα έτη 2016-2020. Ωστόσο τα 3 τελευταία χρόνια της υπό εξέτασης περιόδου 2020-2023, ο δείκτης παρουσιάζει εκ νέου </w:t>
      </w:r>
      <w:r w:rsidRPr="00054C3B">
        <w:rPr>
          <w:sz w:val="24"/>
          <w:szCs w:val="24"/>
          <w:lang w:val="el-GR"/>
        </w:rPr>
        <w:t xml:space="preserve">σταθερά αυξητική πορεία </w:t>
      </w:r>
      <w:r>
        <w:rPr>
          <w:sz w:val="24"/>
          <w:szCs w:val="24"/>
          <w:lang w:val="el-GR"/>
        </w:rPr>
        <w:t xml:space="preserve">έχοντας αθροιστικά αυξηθεί αυτό το διάστημα κατά 4 ποσοστιαίες μονάδες. </w:t>
      </w:r>
    </w:p>
    <w:p w14:paraId="05EF075A" w14:textId="4940C4F0" w:rsidR="003677F5" w:rsidRDefault="003677F5" w:rsidP="003677F5">
      <w:pPr>
        <w:jc w:val="both"/>
        <w:rPr>
          <w:sz w:val="24"/>
          <w:szCs w:val="24"/>
          <w:lang w:val="el-GR"/>
        </w:rPr>
      </w:pPr>
      <w:r>
        <w:rPr>
          <w:sz w:val="24"/>
          <w:szCs w:val="24"/>
          <w:lang w:val="el-GR"/>
        </w:rPr>
        <w:t>Σε σύγκριση με τα άτομα χωρίς αναπηρία, τα επίπεδα κοινωνικής και υλικής στέρησης καταγράφουν υπερδιπλάσια ποσοστά, επιβεβαιώνοντας</w:t>
      </w:r>
      <w:r w:rsidR="00093E9D">
        <w:rPr>
          <w:sz w:val="24"/>
          <w:szCs w:val="24"/>
          <w:lang w:val="el-GR"/>
        </w:rPr>
        <w:t xml:space="preserve"> </w:t>
      </w:r>
      <w:r w:rsidRPr="00DB358C">
        <w:rPr>
          <w:sz w:val="24"/>
          <w:szCs w:val="24"/>
          <w:lang w:val="el-GR"/>
        </w:rPr>
        <w:t xml:space="preserve">εκ νέου τη ισχυρή σχέση της αναπηρίας με τη φτώχεια, σε όρους υλικής και κοινωνικής στέρησης. Επιπροσθέτως, όπως διαπιστώνεται και στις υπόλοιπες συνιστώσες της φτώχειας, και το φαινόμενο της υλικής στέρησης είναι περισσότερο εκτεταμένο στα άτομα που βρίσκονται στο ηλικιακό φάσμα 16-64 ετών. </w:t>
      </w:r>
      <w:bookmarkStart w:id="37" w:name="_Hlk185242312"/>
      <w:r>
        <w:rPr>
          <w:sz w:val="24"/>
          <w:szCs w:val="24"/>
          <w:lang w:val="el-GR"/>
        </w:rPr>
        <w:t>Από την άλλη, τα άτομα με σοβαρή αναπηρία, 65 ετών και άνω, και σοβαρές υλικές και κοινωνικές στερήσεις, εμφανίζουν αυξητική τάση</w:t>
      </w:r>
      <w:r w:rsidR="006E073E">
        <w:rPr>
          <w:sz w:val="24"/>
          <w:szCs w:val="24"/>
          <w:lang w:val="el-GR"/>
        </w:rPr>
        <w:t xml:space="preserve"> σχεδόν</w:t>
      </w:r>
      <w:r>
        <w:rPr>
          <w:sz w:val="24"/>
          <w:szCs w:val="24"/>
          <w:lang w:val="el-GR"/>
        </w:rPr>
        <w:t xml:space="preserve"> σε όλη την περίοδο αναφοράς 2015-2023, όπως και</w:t>
      </w:r>
      <w:r w:rsidR="00093E9D">
        <w:rPr>
          <w:sz w:val="24"/>
          <w:szCs w:val="24"/>
          <w:lang w:val="el-GR"/>
        </w:rPr>
        <w:t xml:space="preserve"> </w:t>
      </w:r>
      <w:r>
        <w:rPr>
          <w:sz w:val="24"/>
          <w:szCs w:val="24"/>
          <w:lang w:val="el-GR"/>
        </w:rPr>
        <w:t xml:space="preserve">τα άτομα χωρίς αναπηρία της ίδιας ηλικιακής ομάδας. Καταγράφεται δηλαδή τα τελευταία χρόνια μια σταθερή και σημαντική επιδείνωση του βιοτικού επιπέδου και των συνταξιούχων και ηλικιωμένων πολιτών με αναπηρία αλλά και χωρίς αναπηρία. </w:t>
      </w:r>
      <w:bookmarkEnd w:id="37"/>
    </w:p>
    <w:p w14:paraId="684EDA9D" w14:textId="33478456" w:rsidR="003677F5" w:rsidRPr="00817968" w:rsidRDefault="003677F5" w:rsidP="003677F5">
      <w:pPr>
        <w:pStyle w:val="a4"/>
        <w:ind w:left="567" w:right="565"/>
        <w:jc w:val="center"/>
        <w:rPr>
          <w:rFonts w:asciiTheme="majorHAnsi" w:hAnsiTheme="majorHAnsi" w:cstheme="majorHAnsi"/>
          <w:b/>
          <w:bCs/>
          <w:i w:val="0"/>
          <w:iCs w:val="0"/>
          <w:color w:val="538135" w:themeColor="accent6" w:themeShade="BF"/>
          <w:sz w:val="24"/>
          <w:szCs w:val="24"/>
          <w:lang w:val="el-GR"/>
        </w:rPr>
      </w:pPr>
      <w:bookmarkStart w:id="38" w:name="_Toc135310566"/>
      <w:bookmarkStart w:id="39" w:name="_Toc185586649"/>
      <w:r w:rsidRPr="00817968">
        <w:rPr>
          <w:rFonts w:asciiTheme="majorHAnsi" w:hAnsiTheme="majorHAnsi" w:cstheme="majorHAnsi"/>
          <w:b/>
          <w:bCs/>
          <w:i w:val="0"/>
          <w:iCs w:val="0"/>
          <w:color w:val="538135" w:themeColor="accent6" w:themeShade="BF"/>
          <w:sz w:val="24"/>
          <w:szCs w:val="24"/>
          <w:lang w:val="el-GR"/>
        </w:rPr>
        <w:t xml:space="preserve">Γράφημα </w:t>
      </w:r>
      <w:r w:rsidRPr="00817968">
        <w:rPr>
          <w:rFonts w:asciiTheme="majorHAnsi" w:hAnsiTheme="majorHAnsi" w:cstheme="majorHAnsi"/>
          <w:b/>
          <w:bCs/>
          <w:i w:val="0"/>
          <w:iCs w:val="0"/>
          <w:color w:val="538135" w:themeColor="accent6" w:themeShade="BF"/>
          <w:sz w:val="24"/>
          <w:szCs w:val="24"/>
        </w:rPr>
        <w:fldChar w:fldCharType="begin"/>
      </w:r>
      <w:r w:rsidRPr="00817968">
        <w:rPr>
          <w:rFonts w:asciiTheme="majorHAnsi" w:hAnsiTheme="majorHAnsi" w:cstheme="majorHAnsi"/>
          <w:b/>
          <w:bCs/>
          <w:i w:val="0"/>
          <w:iCs w:val="0"/>
          <w:color w:val="538135" w:themeColor="accent6" w:themeShade="BF"/>
          <w:sz w:val="24"/>
          <w:szCs w:val="24"/>
          <w:lang w:val="el-GR"/>
        </w:rPr>
        <w:instrText xml:space="preserve"> </w:instrText>
      </w:r>
      <w:r w:rsidRPr="00817968">
        <w:rPr>
          <w:rFonts w:asciiTheme="majorHAnsi" w:hAnsiTheme="majorHAnsi" w:cstheme="majorHAnsi"/>
          <w:b/>
          <w:bCs/>
          <w:i w:val="0"/>
          <w:iCs w:val="0"/>
          <w:color w:val="538135" w:themeColor="accent6" w:themeShade="BF"/>
          <w:sz w:val="24"/>
          <w:szCs w:val="24"/>
        </w:rPr>
        <w:instrText>SEQ</w:instrText>
      </w:r>
      <w:r w:rsidRPr="00817968">
        <w:rPr>
          <w:rFonts w:asciiTheme="majorHAnsi" w:hAnsiTheme="majorHAnsi" w:cstheme="majorHAnsi"/>
          <w:b/>
          <w:bCs/>
          <w:i w:val="0"/>
          <w:iCs w:val="0"/>
          <w:color w:val="538135" w:themeColor="accent6" w:themeShade="BF"/>
          <w:sz w:val="24"/>
          <w:szCs w:val="24"/>
          <w:lang w:val="el-GR"/>
        </w:rPr>
        <w:instrText xml:space="preserve"> Γράφημα \* </w:instrText>
      </w:r>
      <w:r w:rsidRPr="00817968">
        <w:rPr>
          <w:rFonts w:asciiTheme="majorHAnsi" w:hAnsiTheme="majorHAnsi" w:cstheme="majorHAnsi"/>
          <w:b/>
          <w:bCs/>
          <w:i w:val="0"/>
          <w:iCs w:val="0"/>
          <w:color w:val="538135" w:themeColor="accent6" w:themeShade="BF"/>
          <w:sz w:val="24"/>
          <w:szCs w:val="24"/>
        </w:rPr>
        <w:instrText>ARABIC</w:instrText>
      </w:r>
      <w:r w:rsidRPr="00817968">
        <w:rPr>
          <w:rFonts w:asciiTheme="majorHAnsi" w:hAnsiTheme="majorHAnsi" w:cstheme="majorHAnsi"/>
          <w:b/>
          <w:bCs/>
          <w:i w:val="0"/>
          <w:iCs w:val="0"/>
          <w:color w:val="538135" w:themeColor="accent6" w:themeShade="BF"/>
          <w:sz w:val="24"/>
          <w:szCs w:val="24"/>
          <w:lang w:val="el-GR"/>
        </w:rPr>
        <w:instrText xml:space="preserve"> </w:instrText>
      </w:r>
      <w:r w:rsidRPr="00817968">
        <w:rPr>
          <w:rFonts w:asciiTheme="majorHAnsi" w:hAnsiTheme="majorHAnsi" w:cstheme="majorHAnsi"/>
          <w:b/>
          <w:bCs/>
          <w:i w:val="0"/>
          <w:iCs w:val="0"/>
          <w:color w:val="538135" w:themeColor="accent6" w:themeShade="BF"/>
          <w:sz w:val="24"/>
          <w:szCs w:val="24"/>
        </w:rPr>
        <w:fldChar w:fldCharType="separate"/>
      </w:r>
      <w:r w:rsidR="00F7131B" w:rsidRPr="00817968">
        <w:rPr>
          <w:rFonts w:asciiTheme="majorHAnsi" w:hAnsiTheme="majorHAnsi" w:cstheme="majorHAnsi"/>
          <w:b/>
          <w:bCs/>
          <w:i w:val="0"/>
          <w:iCs w:val="0"/>
          <w:noProof/>
          <w:color w:val="538135" w:themeColor="accent6" w:themeShade="BF"/>
          <w:sz w:val="24"/>
          <w:szCs w:val="24"/>
          <w:lang w:val="el-GR"/>
        </w:rPr>
        <w:t>6</w:t>
      </w:r>
      <w:r w:rsidRPr="00817968">
        <w:rPr>
          <w:rFonts w:asciiTheme="majorHAnsi" w:hAnsiTheme="majorHAnsi" w:cstheme="majorHAnsi"/>
          <w:b/>
          <w:bCs/>
          <w:i w:val="0"/>
          <w:iCs w:val="0"/>
          <w:color w:val="538135" w:themeColor="accent6" w:themeShade="BF"/>
          <w:sz w:val="24"/>
          <w:szCs w:val="24"/>
        </w:rPr>
        <w:fldChar w:fldCharType="end"/>
      </w:r>
      <w:r w:rsidRPr="00817968">
        <w:rPr>
          <w:rFonts w:asciiTheme="majorHAnsi" w:hAnsiTheme="majorHAnsi" w:cstheme="majorHAnsi"/>
          <w:b/>
          <w:bCs/>
          <w:i w:val="0"/>
          <w:iCs w:val="0"/>
          <w:color w:val="538135" w:themeColor="accent6" w:themeShade="BF"/>
          <w:sz w:val="24"/>
          <w:szCs w:val="24"/>
          <w:lang w:val="el-GR"/>
        </w:rPr>
        <w:t>. Πληθυσμός 16 ετών και άνω που αντιμετωπίζει υλικές και κοινωνικές στερήσεις και κατάσταση αναπηρίας</w:t>
      </w:r>
      <w:bookmarkEnd w:id="38"/>
      <w:r w:rsidRPr="00817968">
        <w:rPr>
          <w:rFonts w:asciiTheme="majorHAnsi" w:hAnsiTheme="majorHAnsi" w:cstheme="majorHAnsi"/>
          <w:b/>
          <w:bCs/>
          <w:i w:val="0"/>
          <w:iCs w:val="0"/>
          <w:color w:val="538135" w:themeColor="accent6" w:themeShade="BF"/>
          <w:sz w:val="24"/>
          <w:szCs w:val="24"/>
          <w:lang w:val="el-GR"/>
        </w:rPr>
        <w:t xml:space="preserve"> ανά ηλικιακή ομάδα</w:t>
      </w:r>
      <w:bookmarkEnd w:id="39"/>
    </w:p>
    <w:p w14:paraId="3425B86A" w14:textId="03A6EC52" w:rsidR="003677F5" w:rsidRPr="00054C3B" w:rsidRDefault="00A57F87" w:rsidP="00817968">
      <w:pPr>
        <w:jc w:val="center"/>
        <w:rPr>
          <w:lang w:val="el-GR"/>
        </w:rPr>
      </w:pPr>
      <w:r>
        <w:rPr>
          <w:noProof/>
        </w:rPr>
        <w:drawing>
          <wp:inline distT="0" distB="0" distL="0" distR="0" wp14:anchorId="35C4BF2F" wp14:editId="1047FBF1">
            <wp:extent cx="5579745" cy="3126864"/>
            <wp:effectExtent l="0" t="0" r="1905" b="0"/>
            <wp:docPr id="828335794" name="Chart 1" descr="2015: 9,4 Σοβαρή αναπηρία 65 ετών και άνω, 5,5 Χωρίς αναπηρία 65 ετών και άνω, 33,5 Σοβαρή αναπηρία 16 έως 64 ετών, 17,9 Χωρίς αναπηρία 16 έως 64 ετών.&#10;&#10;2016: 9,4 Σοβαρή αναπηρία 65 ετών και άνω, 7,5 Χωρίς αναπηρία 65 ετών και άνω, 33,7 Σοβαρή αναπηρία 16 έως 64 ετών, 18,6 Χωρίς αναπηρία 16 έως 64 ετών.&#10;&#10;2017: 12,6 Σοβαρή αναπηρία 65 ετών και άνω, 8,3 Χωρίς αναπηρία 65 ετών και άνω, 32,0 Σοβαρή αναπηρία 16 έως 64 ετών, 18,1 Χωρίς αναπηρία 16 έως 64 ετών. &#10;&#10;2018: 13,8 Σοβαρή αναπηρία 65 ετών και άνω, 9,1 Χωρίς αναπηρία 65 ετών και άνω, 31,9 Σοβαρή αναπηρία 16 έως 64 ετών, 15,4 Χωρίς αναπηρία 16 έως 64 ετών. &#10;&#10;2019: 16,5 Σοβαρή αναπηρία 65 ετών και άνω, 9,6 Χωρίς αναπηρία 65 ετών και άνω, 28,1 Σοβαρή αναπηρία 16 έως 64 ετών, 15,4 Χωρίς αναπηρία 16 έως 64 ετών.&#10;&#10;2020: 12,7 Σοβαρή αναπηρία 65 ετών και άνω, 9,1 Χωρίς αναπηρία 65 ετών και άνω, 23,8 Σοβαρή αναπηρία 16 έως 64 ετών, 14,3 Χωρίς αναπηρία 16 έως 64 ετών.&#10;&#10;2021: 12,3 Σοβαρή αναπηρία 65 ετών και άνω, 9,4 Χωρίς αναπηρία 65 ετών και άνω, 25,3 Σοβαρή αναπηρία 16 έως 64 ετών, 13,4 Χωρίς αναπηρία 16 έως 64 ετών.&#10;&#10;2022: 13,8 Σοβαρή αναπηρία 65 ετών και άνω, 10,3 Χωρίς αναπηρία 65 ετών και άνω, 26,3 Σοβαρή αναπηρία 16 έως 64 ετών, 13,6 Χωρίς αναπηρία 16 έως 64 ετών.&#10;&#10;2023: 14,9 Σοβαρή αναπηρία 65 ετών και άνω, 10,0 Χωρίς αναπηρία 65 ετών και άνω, 27,8 Σοβαρή αναπηρία 16 έως 64 ετών, 12,3 Χωρίς αναπηρία 16 έως 64 ετών.">
              <a:extLst xmlns:a="http://schemas.openxmlformats.org/drawingml/2006/main">
                <a:ext uri="{FF2B5EF4-FFF2-40B4-BE49-F238E27FC236}">
                  <a16:creationId xmlns:a16="http://schemas.microsoft.com/office/drawing/2014/main" id="{C3A0088E-EC4A-44C5-9752-6C733C48A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36"/>
    <w:p w14:paraId="1184654E" w14:textId="77777777" w:rsidR="00A57F87" w:rsidRPr="00CA7C8B" w:rsidRDefault="00A57F87" w:rsidP="00A57F87">
      <w:pPr>
        <w:pStyle w:val="a4"/>
        <w:spacing w:after="240"/>
        <w:ind w:left="142" w:right="282"/>
        <w:jc w:val="center"/>
        <w:rPr>
          <w:color w:val="538135" w:themeColor="accent6" w:themeShade="BF"/>
          <w:lang w:val="el-GR"/>
        </w:rPr>
      </w:pPr>
      <w:r w:rsidRPr="00CA7C8B">
        <w:rPr>
          <w:color w:val="538135" w:themeColor="accent6" w:themeShade="BF"/>
          <w:lang w:val="el-GR"/>
        </w:rPr>
        <w:t xml:space="preserve">Πηγή δεδομένων: </w:t>
      </w:r>
      <w:r w:rsidRPr="00CA7C8B">
        <w:rPr>
          <w:color w:val="538135" w:themeColor="accent6" w:themeShade="BF"/>
          <w:lang w:val="en-GB"/>
        </w:rPr>
        <w:t>Eurostat</w:t>
      </w:r>
      <w:r w:rsidRPr="000655AA">
        <w:rPr>
          <w:color w:val="538135" w:themeColor="accent6" w:themeShade="BF"/>
          <w:lang w:val="el-GR"/>
        </w:rPr>
        <w:t xml:space="preserve"> </w:t>
      </w:r>
      <w:r w:rsidRPr="00CA7C8B">
        <w:rPr>
          <w:color w:val="538135" w:themeColor="accent6" w:themeShade="BF"/>
          <w:lang w:val="en-GB"/>
        </w:rPr>
        <w:t>database</w:t>
      </w:r>
      <w:r w:rsidRPr="000655AA">
        <w:rPr>
          <w:color w:val="538135" w:themeColor="accent6" w:themeShade="BF"/>
          <w:lang w:val="el-GR"/>
        </w:rPr>
        <w:t xml:space="preserve">, </w:t>
      </w:r>
      <w:r w:rsidRPr="00CA7C8B">
        <w:rPr>
          <w:color w:val="538135" w:themeColor="accent6" w:themeShade="BF"/>
          <w:lang w:val="en-GB"/>
        </w:rPr>
        <w:t>EU</w:t>
      </w:r>
      <w:r w:rsidRPr="000655AA">
        <w:rPr>
          <w:color w:val="538135" w:themeColor="accent6" w:themeShade="BF"/>
          <w:lang w:val="el-GR"/>
        </w:rPr>
        <w:t>-</w:t>
      </w:r>
      <w:r w:rsidRPr="00CA7C8B">
        <w:rPr>
          <w:color w:val="538135" w:themeColor="accent6" w:themeShade="BF"/>
          <w:lang w:val="en-GB"/>
        </w:rPr>
        <w:t>SILC</w:t>
      </w:r>
      <w:r w:rsidRPr="000655AA">
        <w:rPr>
          <w:color w:val="538135" w:themeColor="accent6" w:themeShade="BF"/>
          <w:lang w:val="el-GR"/>
        </w:rPr>
        <w:t xml:space="preserve"> (</w:t>
      </w:r>
      <w:r w:rsidRPr="00CA7C8B">
        <w:rPr>
          <w:color w:val="538135" w:themeColor="accent6" w:themeShade="BF"/>
          <w:lang w:val="en-GB"/>
        </w:rPr>
        <w:t>Statistics</w:t>
      </w:r>
      <w:r w:rsidRPr="000655AA">
        <w:rPr>
          <w:color w:val="538135" w:themeColor="accent6" w:themeShade="BF"/>
          <w:lang w:val="el-GR"/>
        </w:rPr>
        <w:t xml:space="preserve"> </w:t>
      </w:r>
      <w:r w:rsidRPr="00CA7C8B">
        <w:rPr>
          <w:color w:val="538135" w:themeColor="accent6" w:themeShade="BF"/>
          <w:lang w:val="en-GB"/>
        </w:rPr>
        <w:t>on</w:t>
      </w:r>
      <w:r w:rsidRPr="000655AA">
        <w:rPr>
          <w:color w:val="538135" w:themeColor="accent6" w:themeShade="BF"/>
          <w:lang w:val="el-GR"/>
        </w:rPr>
        <w:t xml:space="preserve"> </w:t>
      </w:r>
      <w:r w:rsidRPr="00CA7C8B">
        <w:rPr>
          <w:color w:val="538135" w:themeColor="accent6" w:themeShade="BF"/>
          <w:lang w:val="en-GB"/>
        </w:rPr>
        <w:t>Income</w:t>
      </w:r>
      <w:r w:rsidRPr="000655AA">
        <w:rPr>
          <w:color w:val="538135" w:themeColor="accent6" w:themeShade="BF"/>
          <w:lang w:val="el-GR"/>
        </w:rPr>
        <w:t xml:space="preserve"> </w:t>
      </w:r>
      <w:r w:rsidRPr="00CA7C8B">
        <w:rPr>
          <w:color w:val="538135" w:themeColor="accent6" w:themeShade="BF"/>
          <w:lang w:val="en-GB"/>
        </w:rPr>
        <w:t>and</w:t>
      </w:r>
      <w:r w:rsidRPr="000655AA">
        <w:rPr>
          <w:color w:val="538135" w:themeColor="accent6" w:themeShade="BF"/>
          <w:lang w:val="el-GR"/>
        </w:rPr>
        <w:t xml:space="preserve"> </w:t>
      </w:r>
      <w:r w:rsidRPr="00CA7C8B">
        <w:rPr>
          <w:color w:val="538135" w:themeColor="accent6" w:themeShade="BF"/>
          <w:lang w:val="en-GB"/>
        </w:rPr>
        <w:t>Living</w:t>
      </w:r>
      <w:r w:rsidRPr="000655AA">
        <w:rPr>
          <w:color w:val="538135" w:themeColor="accent6" w:themeShade="BF"/>
          <w:lang w:val="el-GR"/>
        </w:rPr>
        <w:t xml:space="preserve"> </w:t>
      </w:r>
      <w:r w:rsidRPr="00CA7C8B">
        <w:rPr>
          <w:color w:val="538135" w:themeColor="accent6" w:themeShade="BF"/>
          <w:lang w:val="en-GB"/>
        </w:rPr>
        <w:t>Conditions</w:t>
      </w:r>
      <w:r w:rsidRPr="000655AA">
        <w:rPr>
          <w:color w:val="538135" w:themeColor="accent6" w:themeShade="BF"/>
          <w:lang w:val="el-GR"/>
        </w:rPr>
        <w:t>)</w:t>
      </w:r>
      <w:r w:rsidRPr="00CA7C8B">
        <w:rPr>
          <w:color w:val="538135" w:themeColor="accent6" w:themeShade="BF"/>
          <w:lang w:val="el-GR"/>
        </w:rPr>
        <w:br/>
        <w:t>Επεξεργασία δεδομένων: Παρατηρητήριο Θεμάτων Αναπηρίας</w:t>
      </w:r>
    </w:p>
    <w:p w14:paraId="38A10F90" w14:textId="462232AB" w:rsidR="003677F5" w:rsidRDefault="003677F5" w:rsidP="003677F5">
      <w:pPr>
        <w:jc w:val="both"/>
        <w:rPr>
          <w:sz w:val="24"/>
          <w:szCs w:val="24"/>
          <w:lang w:val="el-GR"/>
        </w:rPr>
      </w:pPr>
      <w:r w:rsidRPr="007F5D6D">
        <w:rPr>
          <w:sz w:val="24"/>
          <w:szCs w:val="24"/>
          <w:lang w:val="el-GR"/>
        </w:rPr>
        <w:t>Εντούτοις, η έννοια της υλικής στέρησης εδώ δεν λαμβάνει υπόψη τις ανελαστικές ανάγκες σε εξειδικευμένα αγαθά και υπηρεσίες (υγείας, αποκατάστασης κ.</w:t>
      </w:r>
      <w:r w:rsidR="008B6B44">
        <w:rPr>
          <w:sz w:val="24"/>
          <w:szCs w:val="24"/>
          <w:lang w:val="el-GR"/>
        </w:rPr>
        <w:t>ά</w:t>
      </w:r>
      <w:r w:rsidRPr="007F5D6D">
        <w:rPr>
          <w:sz w:val="24"/>
          <w:szCs w:val="24"/>
          <w:lang w:val="el-GR"/>
        </w:rPr>
        <w:t xml:space="preserve">.) που απορρέουν από την κατάσταση της αναπηρίας. Η μη ικανοποίηση αυτών των αναγκών </w:t>
      </w:r>
      <w:r w:rsidRPr="007F5D6D">
        <w:rPr>
          <w:sz w:val="24"/>
          <w:szCs w:val="24"/>
          <w:lang w:val="el-GR"/>
        </w:rPr>
        <w:lastRenderedPageBreak/>
        <w:t xml:space="preserve">αποτελεί προφανώς </w:t>
      </w:r>
      <w:r w:rsidR="00E21F2B">
        <w:rPr>
          <w:sz w:val="24"/>
          <w:szCs w:val="24"/>
          <w:lang w:val="el-GR"/>
        </w:rPr>
        <w:t>συνθήκη</w:t>
      </w:r>
      <w:r w:rsidRPr="007F5D6D">
        <w:rPr>
          <w:sz w:val="24"/>
          <w:szCs w:val="24"/>
          <w:lang w:val="el-GR"/>
        </w:rPr>
        <w:t xml:space="preserve"> σημαντικής υλικής αποστέρησης για τον πληθυσμό με αναπηρία, </w:t>
      </w:r>
      <w:r w:rsidR="00E21F2B">
        <w:rPr>
          <w:sz w:val="24"/>
          <w:szCs w:val="24"/>
          <w:lang w:val="el-GR"/>
        </w:rPr>
        <w:t>αλλά ωστόσο</w:t>
      </w:r>
      <w:r w:rsidRPr="007F5D6D">
        <w:rPr>
          <w:sz w:val="24"/>
          <w:szCs w:val="24"/>
          <w:lang w:val="el-GR"/>
        </w:rPr>
        <w:t xml:space="preserve"> δεν αποτυπώνεται στον εν λόγω δείκτη. Υπό αυτή την έννοια, το ποσοστό του πληθυσμού των ατόμων με αναπηρία που στερούνται τη δυνατότητα ενός ανεκτού επιπέδου υποεκτιμάται στα διαθέσιμα δεδομένα. </w:t>
      </w:r>
      <w:r>
        <w:rPr>
          <w:sz w:val="24"/>
          <w:szCs w:val="24"/>
          <w:lang w:val="el-GR"/>
        </w:rPr>
        <w:t>Σύμφωνα με τα ευρήματα της πρώτης πανελλαδικής έρευνας του Παρατηρητηρίου για την Πρόσβαση των ατόμων με αναπηρία ή/και χρόνιες και σπάνιες παθήσεις στην Υγεία, τα 8 στα 10 άτομα με αναπηρία/χρόνια πάθηση, έχουν μειώσει δαπάνες για βασικά είδη διαβίωσης (τρόφιμα ή/και ρούχα) προκειμένου να καλύψουν το κόστος των αναγκών της υγείας τους</w:t>
      </w:r>
      <w:r w:rsidR="003C66F6">
        <w:rPr>
          <w:rStyle w:val="a9"/>
          <w:sz w:val="24"/>
          <w:szCs w:val="24"/>
          <w:lang w:val="el-GR"/>
        </w:rPr>
        <w:footnoteReference w:id="9"/>
      </w:r>
      <w:r>
        <w:rPr>
          <w:sz w:val="24"/>
          <w:szCs w:val="24"/>
          <w:lang w:val="el-GR"/>
        </w:rPr>
        <w:t>.</w:t>
      </w:r>
    </w:p>
    <w:p w14:paraId="49EFF1A3" w14:textId="5E0DCA19" w:rsidR="00BC5B62" w:rsidRDefault="00BC5B62" w:rsidP="003677F5">
      <w:pPr>
        <w:jc w:val="both"/>
        <w:rPr>
          <w:sz w:val="24"/>
          <w:szCs w:val="24"/>
          <w:lang w:val="el-GR"/>
        </w:rPr>
      </w:pPr>
      <w:r>
        <w:rPr>
          <w:sz w:val="24"/>
          <w:szCs w:val="24"/>
          <w:lang w:val="el-GR"/>
        </w:rPr>
        <w:t xml:space="preserve">Δεδομένης της ενεργειακής κρίσης, έχει ενδιαφέρον να εξετάσουμε μια συγκεκριμένη μεταβλητή υλικής στέρησης που αφορά στην πρόσβαση των νοικοκυριών σε ικανοποιητική θέρμανση. Στο γράφημα 8 αποτυπώνονται τα ποσοστά των ατόμων </w:t>
      </w:r>
      <w:r w:rsidR="00D2635C">
        <w:rPr>
          <w:sz w:val="24"/>
          <w:szCs w:val="24"/>
          <w:lang w:val="el-GR"/>
        </w:rPr>
        <w:t>ηλικίας 16-64 ετών που δηλώνουν οικονομική αδυναμία για ικανοποιητική θέρμανση. Το 31,3% των ατόμων με σοβαρή αναπηρία και το 18,2% των ατόμων χωρίς αναπηρία αδυνατούν να έχουν ικανοποιητική θέρμανση τον χειμώνα. Ιδιαίτερα τα έτη 2014-2016 τα επίπεδα της στέρησης σε θέρμανση είχαν αγγίξει δυσθεώρητα ποσοστά με τους μισούς πολίτες με σοβαρή αναπηρία να μην έχουν πρόσβαση σε ικανοποιητική θέρμανση. Παρότι ωστόσο</w:t>
      </w:r>
      <w:r w:rsidR="00093E9D">
        <w:rPr>
          <w:sz w:val="24"/>
          <w:szCs w:val="24"/>
          <w:lang w:val="el-GR"/>
        </w:rPr>
        <w:t xml:space="preserve"> </w:t>
      </w:r>
      <w:r w:rsidR="00D2635C">
        <w:rPr>
          <w:sz w:val="24"/>
          <w:szCs w:val="24"/>
          <w:lang w:val="el-GR"/>
        </w:rPr>
        <w:t>από το 2017 μέχρι το 2020 είχε καταγραφεί μια τάση αποκλιμάκωσης, διαπιστώνουμε πως ο δείκτης εμφανίζει και πάλι ανοδική πορεία τα τελευταία 4 χρόνια.</w:t>
      </w:r>
    </w:p>
    <w:p w14:paraId="623CBACB" w14:textId="3601AE06" w:rsidR="00686E3C" w:rsidRPr="005108B6" w:rsidRDefault="00686E3C" w:rsidP="005108B6">
      <w:pPr>
        <w:pStyle w:val="a4"/>
        <w:ind w:left="567" w:right="565"/>
        <w:jc w:val="center"/>
        <w:rPr>
          <w:rFonts w:asciiTheme="majorHAnsi" w:hAnsiTheme="majorHAnsi" w:cstheme="majorHAnsi"/>
          <w:b/>
          <w:bCs/>
          <w:i w:val="0"/>
          <w:iCs w:val="0"/>
          <w:color w:val="538135" w:themeColor="accent6" w:themeShade="BF"/>
          <w:sz w:val="24"/>
          <w:szCs w:val="24"/>
          <w:lang w:val="el-GR"/>
        </w:rPr>
      </w:pPr>
      <w:bookmarkStart w:id="40" w:name="_Toc185586650"/>
      <w:r w:rsidRPr="005108B6">
        <w:rPr>
          <w:rFonts w:asciiTheme="majorHAnsi" w:hAnsiTheme="majorHAnsi" w:cstheme="majorHAnsi"/>
          <w:b/>
          <w:bCs/>
          <w:i w:val="0"/>
          <w:iCs w:val="0"/>
          <w:color w:val="538135" w:themeColor="accent6" w:themeShade="BF"/>
          <w:sz w:val="24"/>
          <w:szCs w:val="24"/>
          <w:lang w:val="el-GR"/>
        </w:rPr>
        <w:t xml:space="preserve">Γράφημα </w:t>
      </w:r>
      <w:r w:rsidRPr="005108B6">
        <w:rPr>
          <w:rFonts w:asciiTheme="majorHAnsi" w:hAnsiTheme="majorHAnsi" w:cstheme="majorHAnsi"/>
          <w:b/>
          <w:bCs/>
          <w:i w:val="0"/>
          <w:iCs w:val="0"/>
          <w:color w:val="538135" w:themeColor="accent6" w:themeShade="BF"/>
          <w:sz w:val="24"/>
          <w:szCs w:val="24"/>
          <w:lang w:val="el-GR"/>
        </w:rPr>
        <w:fldChar w:fldCharType="begin"/>
      </w:r>
      <w:r w:rsidRPr="005108B6">
        <w:rPr>
          <w:rFonts w:asciiTheme="majorHAnsi" w:hAnsiTheme="majorHAnsi" w:cstheme="majorHAnsi"/>
          <w:b/>
          <w:bCs/>
          <w:i w:val="0"/>
          <w:iCs w:val="0"/>
          <w:color w:val="538135" w:themeColor="accent6" w:themeShade="BF"/>
          <w:sz w:val="24"/>
          <w:szCs w:val="24"/>
          <w:lang w:val="el-GR"/>
        </w:rPr>
        <w:instrText xml:space="preserve"> SEQ Γράφημα \* ARABIC </w:instrText>
      </w:r>
      <w:r w:rsidRPr="005108B6">
        <w:rPr>
          <w:rFonts w:asciiTheme="majorHAnsi" w:hAnsiTheme="majorHAnsi" w:cstheme="majorHAnsi"/>
          <w:b/>
          <w:bCs/>
          <w:i w:val="0"/>
          <w:iCs w:val="0"/>
          <w:color w:val="538135" w:themeColor="accent6" w:themeShade="BF"/>
          <w:sz w:val="24"/>
          <w:szCs w:val="24"/>
          <w:lang w:val="el-GR"/>
        </w:rPr>
        <w:fldChar w:fldCharType="separate"/>
      </w:r>
      <w:r w:rsidR="00F7131B" w:rsidRPr="005108B6">
        <w:rPr>
          <w:rFonts w:asciiTheme="majorHAnsi" w:hAnsiTheme="majorHAnsi" w:cstheme="majorHAnsi"/>
          <w:b/>
          <w:bCs/>
          <w:i w:val="0"/>
          <w:iCs w:val="0"/>
          <w:color w:val="538135" w:themeColor="accent6" w:themeShade="BF"/>
          <w:sz w:val="24"/>
          <w:szCs w:val="24"/>
          <w:lang w:val="el-GR"/>
        </w:rPr>
        <w:t>7</w:t>
      </w:r>
      <w:r w:rsidRPr="005108B6">
        <w:rPr>
          <w:rFonts w:asciiTheme="majorHAnsi" w:hAnsiTheme="majorHAnsi" w:cstheme="majorHAnsi"/>
          <w:b/>
          <w:bCs/>
          <w:i w:val="0"/>
          <w:iCs w:val="0"/>
          <w:color w:val="538135" w:themeColor="accent6" w:themeShade="BF"/>
          <w:sz w:val="24"/>
          <w:szCs w:val="24"/>
          <w:lang w:val="el-GR"/>
        </w:rPr>
        <w:fldChar w:fldCharType="end"/>
      </w:r>
      <w:r w:rsidRPr="005108B6">
        <w:rPr>
          <w:rFonts w:asciiTheme="majorHAnsi" w:hAnsiTheme="majorHAnsi" w:cstheme="majorHAnsi"/>
          <w:b/>
          <w:bCs/>
          <w:i w:val="0"/>
          <w:iCs w:val="0"/>
          <w:color w:val="538135" w:themeColor="accent6" w:themeShade="BF"/>
          <w:sz w:val="24"/>
          <w:szCs w:val="24"/>
          <w:lang w:val="el-GR"/>
        </w:rPr>
        <w:t xml:space="preserve">: Ποσοστό ατόμων </w:t>
      </w:r>
      <w:r w:rsidR="00254B28" w:rsidRPr="005108B6">
        <w:rPr>
          <w:rFonts w:asciiTheme="majorHAnsi" w:hAnsiTheme="majorHAnsi" w:cstheme="majorHAnsi"/>
          <w:b/>
          <w:bCs/>
          <w:i w:val="0"/>
          <w:iCs w:val="0"/>
          <w:color w:val="538135" w:themeColor="accent6" w:themeShade="BF"/>
          <w:sz w:val="24"/>
          <w:szCs w:val="24"/>
          <w:lang w:val="el-GR"/>
        </w:rPr>
        <w:t xml:space="preserve">ηλικίας 16-64 ετών </w:t>
      </w:r>
      <w:r w:rsidRPr="005108B6">
        <w:rPr>
          <w:rFonts w:asciiTheme="majorHAnsi" w:hAnsiTheme="majorHAnsi" w:cstheme="majorHAnsi"/>
          <w:b/>
          <w:bCs/>
          <w:i w:val="0"/>
          <w:iCs w:val="0"/>
          <w:color w:val="538135" w:themeColor="accent6" w:themeShade="BF"/>
          <w:sz w:val="24"/>
          <w:szCs w:val="24"/>
          <w:lang w:val="el-GR"/>
        </w:rPr>
        <w:t xml:space="preserve">με οικονομική αδυναμία για ικανοποιητική θέρμανση τον χειμώνα </w:t>
      </w:r>
      <w:r w:rsidR="00254B28" w:rsidRPr="005108B6">
        <w:rPr>
          <w:rFonts w:asciiTheme="majorHAnsi" w:hAnsiTheme="majorHAnsi" w:cstheme="majorHAnsi"/>
          <w:b/>
          <w:bCs/>
          <w:i w:val="0"/>
          <w:iCs w:val="0"/>
          <w:color w:val="538135" w:themeColor="accent6" w:themeShade="BF"/>
          <w:sz w:val="24"/>
          <w:szCs w:val="24"/>
          <w:lang w:val="el-GR"/>
        </w:rPr>
        <w:t>ανά κατάσταση αναπηρίας</w:t>
      </w:r>
      <w:bookmarkEnd w:id="40"/>
    </w:p>
    <w:p w14:paraId="0D05B7B9" w14:textId="7EFEBCB0" w:rsidR="00686E3C" w:rsidRDefault="00ED1BDD" w:rsidP="00ED1BDD">
      <w:pPr>
        <w:jc w:val="center"/>
        <w:rPr>
          <w:sz w:val="24"/>
          <w:szCs w:val="24"/>
          <w:lang w:val="el-GR"/>
        </w:rPr>
      </w:pPr>
      <w:r>
        <w:rPr>
          <w:noProof/>
        </w:rPr>
        <w:drawing>
          <wp:inline distT="0" distB="0" distL="0" distR="0" wp14:anchorId="0D99B5E2" wp14:editId="32217517">
            <wp:extent cx="5460365" cy="3158836"/>
            <wp:effectExtent l="0" t="0" r="6985" b="3810"/>
            <wp:docPr id="1338911431" name="Chart 1" descr="2014: 44,8 Σοβαρή αναπηρία 16 έως 64 ετών, 31,7 Χωρίς αναπηρία 16 έως 64 ετών.&#10;&#10;2015: 43,9 Σοβαρή αναπηρία 16 έως 64 ετών, 27,7 Χωρίς αναπηρία 16 έως 64 ετών.&#10;&#10;2016: 46,4 Σοβαρή αναπηρία 16 έως 64 ετών, 27,6 Χωρίς αναπηρία 16 έως 64 ετών.&#10;&#10;2017: 39,5 Σοβαρή αναπηρία 16 έως 64 ετών, 24,1 Χωρίς αναπηρία 16 έως 64 ετών.&#10;&#10;2018: 35,1 Σοβαρή αναπηρία 16 έως 64 ετών, 21,5 Χωρίς αναπηρία 16 έως 64 ετών.&#10;&#10;2019: 28,3 Σοβαρή αναπηρία 16 έως 64 ετών, 16,9 Χωρίς αναπηρία 16 έως 64 ετών.&#10;&#10;2020: 27,0 Σοβαρή αναπηρία 16 έως 64 ετών, 15,8 Χωρίς αναπηρία 16 έως 64 ετών.&#10;&#10;2021: 29,9 Σοβαρή αναπηρία 16 έως 64 ετών, 16,5 Χωρίς αναπηρία 16 έως 64 ετών.&#10;&#10;2022: 30,8 Σοβαρή αναπηρία 16 έως 64 ετών, 17,9 Χωρίς αναπηρία 16 έως 64 ετών.&#10;&#10;2023: 31,3 Σοβαρή αναπηρία 16 έως 64 ετών, 18,2 Χωρίς αναπηρία 16 έως 64 ετών.">
              <a:extLst xmlns:a="http://schemas.openxmlformats.org/drawingml/2006/main">
                <a:ext uri="{FF2B5EF4-FFF2-40B4-BE49-F238E27FC236}">
                  <a16:creationId xmlns:a16="http://schemas.microsoft.com/office/drawing/2014/main" id="{4C83A02E-0BE3-43FB-A009-6C5A444C6D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8F0E0B" w14:textId="77777777" w:rsidR="005108B6" w:rsidRPr="00CA7C8B" w:rsidRDefault="005108B6" w:rsidP="005108B6">
      <w:pPr>
        <w:pStyle w:val="a4"/>
        <w:spacing w:after="240"/>
        <w:ind w:left="142" w:right="282"/>
        <w:jc w:val="center"/>
        <w:rPr>
          <w:color w:val="538135" w:themeColor="accent6" w:themeShade="BF"/>
          <w:lang w:val="el-GR"/>
        </w:rPr>
      </w:pPr>
      <w:r w:rsidRPr="00CA7C8B">
        <w:rPr>
          <w:color w:val="538135" w:themeColor="accent6" w:themeShade="BF"/>
          <w:lang w:val="el-GR"/>
        </w:rPr>
        <w:t xml:space="preserve">Πηγή δεδομένων: </w:t>
      </w:r>
      <w:r w:rsidRPr="00CA7C8B">
        <w:rPr>
          <w:color w:val="538135" w:themeColor="accent6" w:themeShade="BF"/>
          <w:lang w:val="en-GB"/>
        </w:rPr>
        <w:t>Eurostat</w:t>
      </w:r>
      <w:r w:rsidRPr="000655AA">
        <w:rPr>
          <w:color w:val="538135" w:themeColor="accent6" w:themeShade="BF"/>
          <w:lang w:val="el-GR"/>
        </w:rPr>
        <w:t xml:space="preserve"> </w:t>
      </w:r>
      <w:r w:rsidRPr="00CA7C8B">
        <w:rPr>
          <w:color w:val="538135" w:themeColor="accent6" w:themeShade="BF"/>
          <w:lang w:val="en-GB"/>
        </w:rPr>
        <w:t>database</w:t>
      </w:r>
      <w:r w:rsidRPr="000655AA">
        <w:rPr>
          <w:color w:val="538135" w:themeColor="accent6" w:themeShade="BF"/>
          <w:lang w:val="el-GR"/>
        </w:rPr>
        <w:t xml:space="preserve">, </w:t>
      </w:r>
      <w:r w:rsidRPr="00CA7C8B">
        <w:rPr>
          <w:color w:val="538135" w:themeColor="accent6" w:themeShade="BF"/>
          <w:lang w:val="en-GB"/>
        </w:rPr>
        <w:t>EU</w:t>
      </w:r>
      <w:r w:rsidRPr="000655AA">
        <w:rPr>
          <w:color w:val="538135" w:themeColor="accent6" w:themeShade="BF"/>
          <w:lang w:val="el-GR"/>
        </w:rPr>
        <w:t>-</w:t>
      </w:r>
      <w:r w:rsidRPr="00CA7C8B">
        <w:rPr>
          <w:color w:val="538135" w:themeColor="accent6" w:themeShade="BF"/>
          <w:lang w:val="en-GB"/>
        </w:rPr>
        <w:t>SILC</w:t>
      </w:r>
      <w:r w:rsidRPr="000655AA">
        <w:rPr>
          <w:color w:val="538135" w:themeColor="accent6" w:themeShade="BF"/>
          <w:lang w:val="el-GR"/>
        </w:rPr>
        <w:t xml:space="preserve"> (</w:t>
      </w:r>
      <w:r w:rsidRPr="00CA7C8B">
        <w:rPr>
          <w:color w:val="538135" w:themeColor="accent6" w:themeShade="BF"/>
          <w:lang w:val="en-GB"/>
        </w:rPr>
        <w:t>Statistics</w:t>
      </w:r>
      <w:r w:rsidRPr="000655AA">
        <w:rPr>
          <w:color w:val="538135" w:themeColor="accent6" w:themeShade="BF"/>
          <w:lang w:val="el-GR"/>
        </w:rPr>
        <w:t xml:space="preserve"> </w:t>
      </w:r>
      <w:r w:rsidRPr="00CA7C8B">
        <w:rPr>
          <w:color w:val="538135" w:themeColor="accent6" w:themeShade="BF"/>
          <w:lang w:val="en-GB"/>
        </w:rPr>
        <w:t>on</w:t>
      </w:r>
      <w:r w:rsidRPr="000655AA">
        <w:rPr>
          <w:color w:val="538135" w:themeColor="accent6" w:themeShade="BF"/>
          <w:lang w:val="el-GR"/>
        </w:rPr>
        <w:t xml:space="preserve"> </w:t>
      </w:r>
      <w:r w:rsidRPr="00CA7C8B">
        <w:rPr>
          <w:color w:val="538135" w:themeColor="accent6" w:themeShade="BF"/>
          <w:lang w:val="en-GB"/>
        </w:rPr>
        <w:t>Income</w:t>
      </w:r>
      <w:r w:rsidRPr="000655AA">
        <w:rPr>
          <w:color w:val="538135" w:themeColor="accent6" w:themeShade="BF"/>
          <w:lang w:val="el-GR"/>
        </w:rPr>
        <w:t xml:space="preserve"> </w:t>
      </w:r>
      <w:r w:rsidRPr="00CA7C8B">
        <w:rPr>
          <w:color w:val="538135" w:themeColor="accent6" w:themeShade="BF"/>
          <w:lang w:val="en-GB"/>
        </w:rPr>
        <w:t>and</w:t>
      </w:r>
      <w:r w:rsidRPr="000655AA">
        <w:rPr>
          <w:color w:val="538135" w:themeColor="accent6" w:themeShade="BF"/>
          <w:lang w:val="el-GR"/>
        </w:rPr>
        <w:t xml:space="preserve"> </w:t>
      </w:r>
      <w:r w:rsidRPr="00CA7C8B">
        <w:rPr>
          <w:color w:val="538135" w:themeColor="accent6" w:themeShade="BF"/>
          <w:lang w:val="en-GB"/>
        </w:rPr>
        <w:t>Living</w:t>
      </w:r>
      <w:r w:rsidRPr="000655AA">
        <w:rPr>
          <w:color w:val="538135" w:themeColor="accent6" w:themeShade="BF"/>
          <w:lang w:val="el-GR"/>
        </w:rPr>
        <w:t xml:space="preserve"> </w:t>
      </w:r>
      <w:r w:rsidRPr="00CA7C8B">
        <w:rPr>
          <w:color w:val="538135" w:themeColor="accent6" w:themeShade="BF"/>
          <w:lang w:val="en-GB"/>
        </w:rPr>
        <w:t>Conditions</w:t>
      </w:r>
      <w:r w:rsidRPr="000655AA">
        <w:rPr>
          <w:color w:val="538135" w:themeColor="accent6" w:themeShade="BF"/>
          <w:lang w:val="el-GR"/>
        </w:rPr>
        <w:t>)</w:t>
      </w:r>
      <w:r w:rsidRPr="00CA7C8B">
        <w:rPr>
          <w:color w:val="538135" w:themeColor="accent6" w:themeShade="BF"/>
          <w:lang w:val="el-GR"/>
        </w:rPr>
        <w:br/>
        <w:t>Επεξεργασία δεδομένων: Παρατηρητήριο Θεμάτων Αναπηρίας</w:t>
      </w:r>
    </w:p>
    <w:p w14:paraId="15DED371" w14:textId="3C7DBBB0" w:rsidR="003677F5" w:rsidRPr="00ED1BDD" w:rsidRDefault="003677F5" w:rsidP="00ED1BDD">
      <w:pPr>
        <w:pStyle w:val="2"/>
        <w:spacing w:before="360" w:after="480"/>
        <w:ind w:left="578" w:right="-142" w:hanging="578"/>
        <w:jc w:val="left"/>
        <w:rPr>
          <w:rFonts w:asciiTheme="minorHAnsi" w:hAnsiTheme="minorHAnsi" w:cstheme="minorHAnsi"/>
          <w:color w:val="auto"/>
        </w:rPr>
      </w:pPr>
      <w:bookmarkStart w:id="41" w:name="_Toc135310543"/>
      <w:bookmarkStart w:id="42" w:name="_Toc185524536"/>
      <w:r w:rsidRPr="00ED1BDD">
        <w:rPr>
          <w:rFonts w:asciiTheme="minorHAnsi" w:hAnsiTheme="minorHAnsi" w:cstheme="minorHAnsi"/>
          <w:color w:val="auto"/>
        </w:rPr>
        <w:lastRenderedPageBreak/>
        <w:t>Πληθυσμός που διαβιεί σε νοικοκυριά με χαμηλή ένταση εργασίας (Europe 2030)</w:t>
      </w:r>
      <w:bookmarkEnd w:id="41"/>
      <w:bookmarkEnd w:id="42"/>
    </w:p>
    <w:p w14:paraId="724E7DBE" w14:textId="3A23BB41" w:rsidR="00E83151" w:rsidRPr="00E83151" w:rsidRDefault="003677F5" w:rsidP="003677F5">
      <w:pPr>
        <w:jc w:val="both"/>
        <w:rPr>
          <w:sz w:val="24"/>
          <w:szCs w:val="24"/>
          <w:lang w:val="el-GR"/>
        </w:rPr>
      </w:pPr>
      <w:r w:rsidRPr="00947A6E">
        <w:rPr>
          <w:sz w:val="24"/>
          <w:szCs w:val="24"/>
          <w:lang w:val="el-GR"/>
        </w:rPr>
        <w:t>Ο αναθεωρημένος δείκτης «Ποσοστό πληθυσμού που διαβιεί σε νοικοκυριά με χαμηλή ένταση εργασίας» (</w:t>
      </w:r>
      <w:r w:rsidRPr="00947A6E">
        <w:rPr>
          <w:sz w:val="24"/>
          <w:szCs w:val="24"/>
        </w:rPr>
        <w:t>Europe</w:t>
      </w:r>
      <w:r w:rsidRPr="00947A6E">
        <w:rPr>
          <w:sz w:val="24"/>
          <w:szCs w:val="24"/>
          <w:lang w:val="el-GR"/>
        </w:rPr>
        <w:t xml:space="preserve"> 2030), αναφέρεται </w:t>
      </w:r>
      <w:r w:rsidRPr="004528C4">
        <w:rPr>
          <w:sz w:val="24"/>
          <w:szCs w:val="24"/>
          <w:lang w:val="el-GR"/>
        </w:rPr>
        <w:t>στο ποσοστό πληθυσμού ηλικίας 0-64 που διαβιούν σε νοικοκυριά που τα μέλη τους εργάστηκαν λιγότερο</w:t>
      </w:r>
      <w:r w:rsidRPr="00947A6E">
        <w:rPr>
          <w:sz w:val="24"/>
          <w:szCs w:val="24"/>
          <w:lang w:val="el-GR"/>
        </w:rPr>
        <w:t xml:space="preserve"> από 20% της συνήθους</w:t>
      </w:r>
      <w:r w:rsidR="00ED1BDD">
        <w:rPr>
          <w:sz w:val="24"/>
          <w:szCs w:val="24"/>
          <w:lang w:val="el-GR"/>
        </w:rPr>
        <w:t xml:space="preserve"> </w:t>
      </w:r>
      <w:r w:rsidRPr="00947A6E">
        <w:rPr>
          <w:sz w:val="24"/>
          <w:szCs w:val="24"/>
          <w:lang w:val="el-GR"/>
        </w:rPr>
        <w:t xml:space="preserve">απασχόλησης κατά τη διάρκεια του προηγούμενου έτους. </w:t>
      </w:r>
      <w:r w:rsidR="00E83151" w:rsidRPr="00E83151">
        <w:rPr>
          <w:sz w:val="24"/>
          <w:szCs w:val="24"/>
          <w:lang w:val="el-GR"/>
        </w:rPr>
        <w:t>Η ένταση εργασίας του νοικοκυριού ορίζεται ως ο λόγος μεταξύ του αριθμού των μηνών που όλα τα μέλη εργά</w:t>
      </w:r>
      <w:r w:rsidR="00E83151">
        <w:rPr>
          <w:sz w:val="24"/>
          <w:szCs w:val="24"/>
          <w:lang w:val="el-GR"/>
        </w:rPr>
        <w:t xml:space="preserve">στηκαν </w:t>
      </w:r>
      <w:r w:rsidR="00E83151" w:rsidRPr="00E83151">
        <w:rPr>
          <w:sz w:val="24"/>
          <w:szCs w:val="24"/>
          <w:lang w:val="el-GR"/>
        </w:rPr>
        <w:t>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18-64 ετών. Τα νοικοκυριά που αποτελούνται μόνο από μαθητές ή σπουδαστές κ.λπ. κάτω των 25 ετών, ή 60-64 ετών που δεν είναι οικονομικά ενεργά ή και άτομα ηλικίας 65 ετών και άνω εξαιρούνται από τον υπολογισμό του δείκτη.</w:t>
      </w:r>
    </w:p>
    <w:p w14:paraId="78D06D80" w14:textId="07D37C91" w:rsidR="003677F5" w:rsidRPr="00947A6E" w:rsidRDefault="003677F5" w:rsidP="003677F5">
      <w:pPr>
        <w:jc w:val="both"/>
        <w:rPr>
          <w:sz w:val="24"/>
          <w:szCs w:val="24"/>
          <w:lang w:val="el-GR"/>
        </w:rPr>
      </w:pPr>
      <w:r w:rsidRPr="00947A6E">
        <w:rPr>
          <w:sz w:val="24"/>
          <w:szCs w:val="24"/>
          <w:lang w:val="el-GR"/>
        </w:rPr>
        <w:t>Η ανάλυση του δείκτη στον πληθυσμό των ατόμων με αναπηρία καθιστά εμφανές ότι ο τομέας της απασχόλησης αποτελεί το κατεξοχήν πεδίο ύπαρξης εμποδίων και αναπαραγωγής διακρίσεων εις βάρος</w:t>
      </w:r>
      <w:r w:rsidR="00093E9D">
        <w:rPr>
          <w:sz w:val="24"/>
          <w:szCs w:val="24"/>
          <w:lang w:val="el-GR"/>
        </w:rPr>
        <w:t xml:space="preserve"> </w:t>
      </w:r>
      <w:r w:rsidRPr="00947A6E">
        <w:rPr>
          <w:sz w:val="24"/>
          <w:szCs w:val="24"/>
          <w:lang w:val="el-GR"/>
        </w:rPr>
        <w:t xml:space="preserve">των ατόμων με αναπηρία και των οικογενειών τους. </w:t>
      </w:r>
      <w:bookmarkStart w:id="43" w:name="_Hlk185243323"/>
      <w:r w:rsidRPr="00947A6E">
        <w:rPr>
          <w:sz w:val="24"/>
          <w:szCs w:val="24"/>
          <w:lang w:val="el-GR"/>
        </w:rPr>
        <w:t xml:space="preserve">Το 2023 το </w:t>
      </w:r>
      <w:r w:rsidRPr="004528C4">
        <w:rPr>
          <w:sz w:val="24"/>
          <w:szCs w:val="24"/>
          <w:lang w:val="el-GR"/>
        </w:rPr>
        <w:t>ποσοστ</w:t>
      </w:r>
      <w:r w:rsidR="001644F4" w:rsidRPr="004528C4">
        <w:rPr>
          <w:sz w:val="24"/>
          <w:szCs w:val="24"/>
          <w:lang w:val="el-GR"/>
        </w:rPr>
        <w:t>ό</w:t>
      </w:r>
      <w:r w:rsidRPr="004528C4">
        <w:rPr>
          <w:sz w:val="24"/>
          <w:szCs w:val="24"/>
          <w:lang w:val="el-GR"/>
        </w:rPr>
        <w:t xml:space="preserve"> π</w:t>
      </w:r>
      <w:r w:rsidRPr="00947A6E">
        <w:rPr>
          <w:sz w:val="24"/>
          <w:szCs w:val="24"/>
          <w:lang w:val="el-GR"/>
        </w:rPr>
        <w:t xml:space="preserve">ληθυσμού (16-64 ετών) με σοβαρή αναπηρία που διαβιεί σε νοικοκυριά με χαμηλή ένταση εργασίας (Europe 2030) </w:t>
      </w:r>
      <w:r w:rsidR="003F06B5">
        <w:rPr>
          <w:sz w:val="24"/>
          <w:szCs w:val="24"/>
          <w:lang w:val="el-GR"/>
        </w:rPr>
        <w:t>υπολογίστηκε</w:t>
      </w:r>
      <w:r w:rsidRPr="00947A6E">
        <w:rPr>
          <w:sz w:val="24"/>
          <w:szCs w:val="24"/>
          <w:lang w:val="el-GR"/>
        </w:rPr>
        <w:t xml:space="preserve"> σε 27,1%, ποσοστό δηλαδή σχεδόν τετραπλάσιο από το αντίστοιχο στον πληθυσμό χωρίς αναπηρία. </w:t>
      </w:r>
      <w:bookmarkEnd w:id="43"/>
      <w:r w:rsidRPr="00947A6E">
        <w:rPr>
          <w:sz w:val="24"/>
          <w:szCs w:val="24"/>
          <w:lang w:val="el-GR"/>
        </w:rPr>
        <w:t xml:space="preserve">Σε σύγκριση με το προηγούμενο έτος, η τιμή του δείγμα στην κατηγορία ατόμων με σοβαρή αναπηρία σημείωσε μείωση </w:t>
      </w:r>
      <w:r>
        <w:rPr>
          <w:sz w:val="24"/>
          <w:szCs w:val="24"/>
          <w:lang w:val="el-GR"/>
        </w:rPr>
        <w:t>κατά 4,6 μονάδες.</w:t>
      </w:r>
    </w:p>
    <w:p w14:paraId="6F05C441" w14:textId="4C9C211A" w:rsidR="00ED1BDD" w:rsidRDefault="003677F5" w:rsidP="003677F5">
      <w:pPr>
        <w:jc w:val="both"/>
        <w:rPr>
          <w:sz w:val="24"/>
          <w:szCs w:val="24"/>
          <w:lang w:val="el-GR"/>
        </w:rPr>
      </w:pPr>
      <w:r w:rsidRPr="003C7B55">
        <w:rPr>
          <w:sz w:val="24"/>
          <w:szCs w:val="24"/>
          <w:lang w:val="el-GR"/>
        </w:rPr>
        <w:t xml:space="preserve">Γενικά, κατά το διάστημα αναφοράς 2015-2023, δεδομένου ότι και ο γενικός δείκτης απασχόλησης σημειώνει μικρή αλλά σταθερή βελτίωση σε επίπεδο χώρας, ανάλογη πορεία ακολουθείται και στον δείκτη χαμηλή ένταση εργασίας στον πληθυσμό χωρίς αναπηρία. </w:t>
      </w:r>
      <w:r>
        <w:rPr>
          <w:sz w:val="24"/>
          <w:szCs w:val="24"/>
          <w:lang w:val="el-GR"/>
        </w:rPr>
        <w:t xml:space="preserve">Ωστόσο στα άτομα με αναπηρία ο δείκτης καταγράφει </w:t>
      </w:r>
      <w:r w:rsidR="007B18CB">
        <w:rPr>
          <w:sz w:val="24"/>
          <w:szCs w:val="24"/>
          <w:lang w:val="el-GR"/>
        </w:rPr>
        <w:t xml:space="preserve">διαφορετική πορεία με σημαντική αύξηση κατά τα έτη 2015-19 και τάση </w:t>
      </w:r>
      <w:r w:rsidR="007B18CB" w:rsidRPr="004528C4">
        <w:rPr>
          <w:sz w:val="24"/>
          <w:szCs w:val="24"/>
          <w:lang w:val="el-GR"/>
        </w:rPr>
        <w:t xml:space="preserve">αποκλιμάκωσης τα επόμενα χρόνια. Εν τέλει, </w:t>
      </w:r>
      <w:r w:rsidRPr="004528C4">
        <w:rPr>
          <w:sz w:val="24"/>
          <w:szCs w:val="24"/>
          <w:lang w:val="el-GR"/>
        </w:rPr>
        <w:t xml:space="preserve">κατά το διάστημα που εξετάζουμε, </w:t>
      </w:r>
      <w:r w:rsidR="007B18CB" w:rsidRPr="004528C4">
        <w:rPr>
          <w:sz w:val="24"/>
          <w:szCs w:val="24"/>
          <w:lang w:val="el-GR"/>
        </w:rPr>
        <w:t>ο δείκτης «πληθυσμός με σοβαρή</w:t>
      </w:r>
      <w:r w:rsidR="004A1351" w:rsidRPr="004528C4">
        <w:rPr>
          <w:sz w:val="24"/>
          <w:szCs w:val="24"/>
          <w:lang w:val="el-GR"/>
        </w:rPr>
        <w:t xml:space="preserve"> αναπηρία</w:t>
      </w:r>
      <w:r w:rsidR="007B18CB" w:rsidRPr="004528C4">
        <w:rPr>
          <w:sz w:val="24"/>
          <w:szCs w:val="24"/>
          <w:lang w:val="el-GR"/>
        </w:rPr>
        <w:t xml:space="preserve"> που διαβιεί σε νοικοκυριά με χαμηλή ένταση εργασίας» σημειώνει αθροιστική αύξηση </w:t>
      </w:r>
      <w:r>
        <w:rPr>
          <w:sz w:val="24"/>
          <w:szCs w:val="24"/>
          <w:lang w:val="el-GR"/>
        </w:rPr>
        <w:t>κατά 3 μονάδες</w:t>
      </w:r>
      <w:r w:rsidR="007B18CB">
        <w:rPr>
          <w:sz w:val="24"/>
          <w:szCs w:val="24"/>
          <w:lang w:val="el-GR"/>
        </w:rPr>
        <w:t>.</w:t>
      </w:r>
    </w:p>
    <w:p w14:paraId="1CAEB2B2" w14:textId="77777777" w:rsidR="00ED1BDD" w:rsidRDefault="00ED1BDD">
      <w:pPr>
        <w:spacing w:after="0" w:line="240" w:lineRule="auto"/>
        <w:rPr>
          <w:sz w:val="24"/>
          <w:szCs w:val="24"/>
          <w:lang w:val="el-GR"/>
        </w:rPr>
      </w:pPr>
      <w:r>
        <w:rPr>
          <w:sz w:val="24"/>
          <w:szCs w:val="24"/>
          <w:lang w:val="el-GR"/>
        </w:rPr>
        <w:br w:type="page"/>
      </w:r>
    </w:p>
    <w:p w14:paraId="5270C3A8" w14:textId="3E4ABB3F" w:rsidR="003677F5" w:rsidRPr="00ED1BDD" w:rsidRDefault="003677F5" w:rsidP="003677F5">
      <w:pPr>
        <w:pStyle w:val="a4"/>
        <w:ind w:left="567" w:right="565"/>
        <w:jc w:val="center"/>
        <w:rPr>
          <w:rFonts w:asciiTheme="majorHAnsi" w:hAnsiTheme="majorHAnsi" w:cstheme="majorHAnsi"/>
          <w:b/>
          <w:bCs/>
          <w:i w:val="0"/>
          <w:iCs w:val="0"/>
          <w:color w:val="538135" w:themeColor="accent6" w:themeShade="BF"/>
          <w:sz w:val="24"/>
          <w:szCs w:val="24"/>
          <w:lang w:val="el-GR"/>
        </w:rPr>
      </w:pPr>
      <w:bookmarkStart w:id="44" w:name="_Toc135310568"/>
      <w:bookmarkStart w:id="45" w:name="_Toc185586651"/>
      <w:r w:rsidRPr="00ED1BDD">
        <w:rPr>
          <w:rFonts w:asciiTheme="majorHAnsi" w:hAnsiTheme="majorHAnsi" w:cstheme="majorHAnsi"/>
          <w:b/>
          <w:bCs/>
          <w:i w:val="0"/>
          <w:iCs w:val="0"/>
          <w:color w:val="538135" w:themeColor="accent6" w:themeShade="BF"/>
          <w:sz w:val="24"/>
          <w:szCs w:val="24"/>
          <w:lang w:val="el-GR"/>
        </w:rPr>
        <w:lastRenderedPageBreak/>
        <w:t xml:space="preserve">Γράφημα </w:t>
      </w:r>
      <w:r w:rsidRPr="00ED1BDD">
        <w:rPr>
          <w:rFonts w:asciiTheme="majorHAnsi" w:hAnsiTheme="majorHAnsi" w:cstheme="majorHAnsi"/>
          <w:b/>
          <w:bCs/>
          <w:i w:val="0"/>
          <w:iCs w:val="0"/>
          <w:color w:val="538135" w:themeColor="accent6" w:themeShade="BF"/>
          <w:sz w:val="24"/>
          <w:szCs w:val="24"/>
        </w:rPr>
        <w:fldChar w:fldCharType="begin"/>
      </w:r>
      <w:r w:rsidRPr="00ED1BDD">
        <w:rPr>
          <w:rFonts w:asciiTheme="majorHAnsi" w:hAnsiTheme="majorHAnsi" w:cstheme="majorHAnsi"/>
          <w:b/>
          <w:bCs/>
          <w:i w:val="0"/>
          <w:iCs w:val="0"/>
          <w:color w:val="538135" w:themeColor="accent6" w:themeShade="BF"/>
          <w:sz w:val="24"/>
          <w:szCs w:val="24"/>
          <w:lang w:val="el-GR"/>
        </w:rPr>
        <w:instrText xml:space="preserve"> </w:instrText>
      </w:r>
      <w:r w:rsidRPr="00ED1BDD">
        <w:rPr>
          <w:rFonts w:asciiTheme="majorHAnsi" w:hAnsiTheme="majorHAnsi" w:cstheme="majorHAnsi"/>
          <w:b/>
          <w:bCs/>
          <w:i w:val="0"/>
          <w:iCs w:val="0"/>
          <w:color w:val="538135" w:themeColor="accent6" w:themeShade="BF"/>
          <w:sz w:val="24"/>
          <w:szCs w:val="24"/>
        </w:rPr>
        <w:instrText>SEQ</w:instrText>
      </w:r>
      <w:r w:rsidRPr="00ED1BDD">
        <w:rPr>
          <w:rFonts w:asciiTheme="majorHAnsi" w:hAnsiTheme="majorHAnsi" w:cstheme="majorHAnsi"/>
          <w:b/>
          <w:bCs/>
          <w:i w:val="0"/>
          <w:iCs w:val="0"/>
          <w:color w:val="538135" w:themeColor="accent6" w:themeShade="BF"/>
          <w:sz w:val="24"/>
          <w:szCs w:val="24"/>
          <w:lang w:val="el-GR"/>
        </w:rPr>
        <w:instrText xml:space="preserve"> Γράφημα \* </w:instrText>
      </w:r>
      <w:r w:rsidRPr="00ED1BDD">
        <w:rPr>
          <w:rFonts w:asciiTheme="majorHAnsi" w:hAnsiTheme="majorHAnsi" w:cstheme="majorHAnsi"/>
          <w:b/>
          <w:bCs/>
          <w:i w:val="0"/>
          <w:iCs w:val="0"/>
          <w:color w:val="538135" w:themeColor="accent6" w:themeShade="BF"/>
          <w:sz w:val="24"/>
          <w:szCs w:val="24"/>
        </w:rPr>
        <w:instrText>ARABIC</w:instrText>
      </w:r>
      <w:r w:rsidRPr="00ED1BDD">
        <w:rPr>
          <w:rFonts w:asciiTheme="majorHAnsi" w:hAnsiTheme="majorHAnsi" w:cstheme="majorHAnsi"/>
          <w:b/>
          <w:bCs/>
          <w:i w:val="0"/>
          <w:iCs w:val="0"/>
          <w:color w:val="538135" w:themeColor="accent6" w:themeShade="BF"/>
          <w:sz w:val="24"/>
          <w:szCs w:val="24"/>
          <w:lang w:val="el-GR"/>
        </w:rPr>
        <w:instrText xml:space="preserve"> </w:instrText>
      </w:r>
      <w:r w:rsidRPr="00ED1BDD">
        <w:rPr>
          <w:rFonts w:asciiTheme="majorHAnsi" w:hAnsiTheme="majorHAnsi" w:cstheme="majorHAnsi"/>
          <w:b/>
          <w:bCs/>
          <w:i w:val="0"/>
          <w:iCs w:val="0"/>
          <w:color w:val="538135" w:themeColor="accent6" w:themeShade="BF"/>
          <w:sz w:val="24"/>
          <w:szCs w:val="24"/>
        </w:rPr>
        <w:fldChar w:fldCharType="separate"/>
      </w:r>
      <w:r w:rsidR="00F7131B" w:rsidRPr="00ED1BDD">
        <w:rPr>
          <w:rFonts w:asciiTheme="majorHAnsi" w:hAnsiTheme="majorHAnsi" w:cstheme="majorHAnsi"/>
          <w:b/>
          <w:bCs/>
          <w:i w:val="0"/>
          <w:iCs w:val="0"/>
          <w:noProof/>
          <w:color w:val="538135" w:themeColor="accent6" w:themeShade="BF"/>
          <w:sz w:val="24"/>
          <w:szCs w:val="24"/>
          <w:lang w:val="el-GR"/>
        </w:rPr>
        <w:t>8</w:t>
      </w:r>
      <w:r w:rsidRPr="00ED1BDD">
        <w:rPr>
          <w:rFonts w:asciiTheme="majorHAnsi" w:hAnsiTheme="majorHAnsi" w:cstheme="majorHAnsi"/>
          <w:b/>
          <w:bCs/>
          <w:i w:val="0"/>
          <w:iCs w:val="0"/>
          <w:color w:val="538135" w:themeColor="accent6" w:themeShade="BF"/>
          <w:sz w:val="24"/>
          <w:szCs w:val="24"/>
        </w:rPr>
        <w:fldChar w:fldCharType="end"/>
      </w:r>
      <w:r w:rsidRPr="00ED1BDD">
        <w:rPr>
          <w:rFonts w:asciiTheme="majorHAnsi" w:hAnsiTheme="majorHAnsi" w:cstheme="majorHAnsi"/>
          <w:b/>
          <w:bCs/>
          <w:i w:val="0"/>
          <w:iCs w:val="0"/>
          <w:color w:val="538135" w:themeColor="accent6" w:themeShade="BF"/>
          <w:sz w:val="24"/>
          <w:szCs w:val="24"/>
          <w:lang w:val="el-GR"/>
        </w:rPr>
        <w:t>. Διαχρονική εξέλιξη ποσοστού πληθυσμού (16-64 ετών) που διαβιεί σε νοικοκυριά με χαμηλή ένταση εργασίας (Europe 2030)</w:t>
      </w:r>
      <w:bookmarkEnd w:id="44"/>
      <w:bookmarkEnd w:id="45"/>
    </w:p>
    <w:p w14:paraId="4B0ED541" w14:textId="1D553703" w:rsidR="003677F5" w:rsidRPr="00713BE4" w:rsidRDefault="003848BC" w:rsidP="003677F5">
      <w:pPr>
        <w:rPr>
          <w:lang w:val="el-GR"/>
        </w:rPr>
      </w:pPr>
      <w:r>
        <w:rPr>
          <w:noProof/>
        </w:rPr>
        <w:drawing>
          <wp:inline distT="0" distB="0" distL="0" distR="0" wp14:anchorId="692C3472" wp14:editId="67A963E5">
            <wp:extent cx="5305425" cy="3314695"/>
            <wp:effectExtent l="0" t="0" r="0" b="635"/>
            <wp:docPr id="1901540850" name="Chart 1" descr="2015: 24,1 Σοβαρή αναπηρία, 14,1 Χωρίς αναπηρία.&#10;&#10;2016: 29,4 Σοβαρή αναπηρία, 14,1 Χωρίς αναπηρία.&#10;&#10;2017: 30,8 Σοβαρή αναπηρία, 12,7 Χωρίς αναπηρία.&#10;&#10;2018: 32,0 Σοβαρή αναπηρία, 12,1 Χωρίς αναπηρία.&#10;&#10;2019: 36,2 Σοβαρή αναπηρία, 10,9 Χωρίς αναπηρία. &#10;&#10;2020: 32,3 Σοβαρή αναπηρία, 10,5 Χωρίς αναπηρία. &#10;&#10;2021: 34,2 Σοβαρή αναπηρία, 11,0 Χωρίς αναπηρία. &#10;&#10;2022: 31,7 Σοβαρή αναπηρία, 8,5 Χωρίς αναπηρία.&#10;&#10;2023: 27,1 Σοβαρή αναπηρία, 7,4 Χωρίς αναπηρία.">
              <a:extLst xmlns:a="http://schemas.openxmlformats.org/drawingml/2006/main">
                <a:ext uri="{FF2B5EF4-FFF2-40B4-BE49-F238E27FC236}">
                  <a16:creationId xmlns:a16="http://schemas.microsoft.com/office/drawing/2014/main" id="{7122B3A6-CC53-4735-91A3-9A19270D6C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9EBABB" w14:textId="77777777" w:rsidR="003848BC" w:rsidRPr="00CA7C8B" w:rsidRDefault="003848BC" w:rsidP="003848BC">
      <w:pPr>
        <w:pStyle w:val="a4"/>
        <w:spacing w:after="240"/>
        <w:ind w:left="142" w:right="282"/>
        <w:jc w:val="center"/>
        <w:rPr>
          <w:color w:val="538135" w:themeColor="accent6" w:themeShade="BF"/>
          <w:lang w:val="el-GR"/>
        </w:rPr>
      </w:pPr>
      <w:r w:rsidRPr="00CA7C8B">
        <w:rPr>
          <w:color w:val="538135" w:themeColor="accent6" w:themeShade="BF"/>
          <w:lang w:val="el-GR"/>
        </w:rPr>
        <w:t xml:space="preserve">Πηγή δεδομένων: </w:t>
      </w:r>
      <w:r w:rsidRPr="00CA7C8B">
        <w:rPr>
          <w:color w:val="538135" w:themeColor="accent6" w:themeShade="BF"/>
          <w:lang w:val="en-GB"/>
        </w:rPr>
        <w:t>Eurostat</w:t>
      </w:r>
      <w:r w:rsidRPr="000655AA">
        <w:rPr>
          <w:color w:val="538135" w:themeColor="accent6" w:themeShade="BF"/>
          <w:lang w:val="el-GR"/>
        </w:rPr>
        <w:t xml:space="preserve"> </w:t>
      </w:r>
      <w:r w:rsidRPr="00CA7C8B">
        <w:rPr>
          <w:color w:val="538135" w:themeColor="accent6" w:themeShade="BF"/>
          <w:lang w:val="en-GB"/>
        </w:rPr>
        <w:t>database</w:t>
      </w:r>
      <w:r w:rsidRPr="000655AA">
        <w:rPr>
          <w:color w:val="538135" w:themeColor="accent6" w:themeShade="BF"/>
          <w:lang w:val="el-GR"/>
        </w:rPr>
        <w:t xml:space="preserve">, </w:t>
      </w:r>
      <w:r w:rsidRPr="00CA7C8B">
        <w:rPr>
          <w:color w:val="538135" w:themeColor="accent6" w:themeShade="BF"/>
          <w:lang w:val="en-GB"/>
        </w:rPr>
        <w:t>EU</w:t>
      </w:r>
      <w:r w:rsidRPr="000655AA">
        <w:rPr>
          <w:color w:val="538135" w:themeColor="accent6" w:themeShade="BF"/>
          <w:lang w:val="el-GR"/>
        </w:rPr>
        <w:t>-</w:t>
      </w:r>
      <w:r w:rsidRPr="00CA7C8B">
        <w:rPr>
          <w:color w:val="538135" w:themeColor="accent6" w:themeShade="BF"/>
          <w:lang w:val="en-GB"/>
        </w:rPr>
        <w:t>SILC</w:t>
      </w:r>
      <w:r w:rsidRPr="000655AA">
        <w:rPr>
          <w:color w:val="538135" w:themeColor="accent6" w:themeShade="BF"/>
          <w:lang w:val="el-GR"/>
        </w:rPr>
        <w:t xml:space="preserve"> (</w:t>
      </w:r>
      <w:r w:rsidRPr="00CA7C8B">
        <w:rPr>
          <w:color w:val="538135" w:themeColor="accent6" w:themeShade="BF"/>
          <w:lang w:val="en-GB"/>
        </w:rPr>
        <w:t>Statistics</w:t>
      </w:r>
      <w:r w:rsidRPr="000655AA">
        <w:rPr>
          <w:color w:val="538135" w:themeColor="accent6" w:themeShade="BF"/>
          <w:lang w:val="el-GR"/>
        </w:rPr>
        <w:t xml:space="preserve"> </w:t>
      </w:r>
      <w:r w:rsidRPr="00CA7C8B">
        <w:rPr>
          <w:color w:val="538135" w:themeColor="accent6" w:themeShade="BF"/>
          <w:lang w:val="en-GB"/>
        </w:rPr>
        <w:t>on</w:t>
      </w:r>
      <w:r w:rsidRPr="000655AA">
        <w:rPr>
          <w:color w:val="538135" w:themeColor="accent6" w:themeShade="BF"/>
          <w:lang w:val="el-GR"/>
        </w:rPr>
        <w:t xml:space="preserve"> </w:t>
      </w:r>
      <w:r w:rsidRPr="00CA7C8B">
        <w:rPr>
          <w:color w:val="538135" w:themeColor="accent6" w:themeShade="BF"/>
          <w:lang w:val="en-GB"/>
        </w:rPr>
        <w:t>Income</w:t>
      </w:r>
      <w:r w:rsidRPr="000655AA">
        <w:rPr>
          <w:color w:val="538135" w:themeColor="accent6" w:themeShade="BF"/>
          <w:lang w:val="el-GR"/>
        </w:rPr>
        <w:t xml:space="preserve"> </w:t>
      </w:r>
      <w:r w:rsidRPr="00CA7C8B">
        <w:rPr>
          <w:color w:val="538135" w:themeColor="accent6" w:themeShade="BF"/>
          <w:lang w:val="en-GB"/>
        </w:rPr>
        <w:t>and</w:t>
      </w:r>
      <w:r w:rsidRPr="000655AA">
        <w:rPr>
          <w:color w:val="538135" w:themeColor="accent6" w:themeShade="BF"/>
          <w:lang w:val="el-GR"/>
        </w:rPr>
        <w:t xml:space="preserve"> </w:t>
      </w:r>
      <w:r w:rsidRPr="00CA7C8B">
        <w:rPr>
          <w:color w:val="538135" w:themeColor="accent6" w:themeShade="BF"/>
          <w:lang w:val="en-GB"/>
        </w:rPr>
        <w:t>Living</w:t>
      </w:r>
      <w:r w:rsidRPr="000655AA">
        <w:rPr>
          <w:color w:val="538135" w:themeColor="accent6" w:themeShade="BF"/>
          <w:lang w:val="el-GR"/>
        </w:rPr>
        <w:t xml:space="preserve"> </w:t>
      </w:r>
      <w:r w:rsidRPr="00CA7C8B">
        <w:rPr>
          <w:color w:val="538135" w:themeColor="accent6" w:themeShade="BF"/>
          <w:lang w:val="en-GB"/>
        </w:rPr>
        <w:t>Conditions</w:t>
      </w:r>
      <w:r w:rsidRPr="000655AA">
        <w:rPr>
          <w:color w:val="538135" w:themeColor="accent6" w:themeShade="BF"/>
          <w:lang w:val="el-GR"/>
        </w:rPr>
        <w:t>)</w:t>
      </w:r>
      <w:r w:rsidRPr="00CA7C8B">
        <w:rPr>
          <w:color w:val="538135" w:themeColor="accent6" w:themeShade="BF"/>
          <w:lang w:val="el-GR"/>
        </w:rPr>
        <w:br/>
        <w:t>Επεξεργασία δεδομένων: Παρατηρητήριο Θεμάτων Αναπηρίας</w:t>
      </w:r>
    </w:p>
    <w:p w14:paraId="4252C1A3" w14:textId="0229A922" w:rsidR="003677F5" w:rsidRPr="007B18CB" w:rsidRDefault="003677F5" w:rsidP="003848BC">
      <w:pPr>
        <w:spacing w:before="360"/>
        <w:jc w:val="both"/>
        <w:rPr>
          <w:sz w:val="24"/>
          <w:szCs w:val="24"/>
          <w:lang w:val="el-GR"/>
        </w:rPr>
      </w:pPr>
      <w:r w:rsidRPr="007B18CB">
        <w:rPr>
          <w:sz w:val="24"/>
          <w:szCs w:val="24"/>
          <w:lang w:val="el-GR"/>
        </w:rPr>
        <w:t>Αξίζει ωστόσο να σημειωθεί ότι, η αναθεωρημένη μέθοδος υπολογισμού του δείκτη, μειώνει τις ποσοτικές εκτιμήσεις του φαινομένου. Για παράδειγμα, σύμφωνα με τον προηγούμενο τρόπο υπολογισμού (</w:t>
      </w:r>
      <w:r w:rsidRPr="007B18CB">
        <w:rPr>
          <w:sz w:val="24"/>
          <w:szCs w:val="24"/>
        </w:rPr>
        <w:t>Europe</w:t>
      </w:r>
      <w:r w:rsidRPr="007B18CB">
        <w:rPr>
          <w:sz w:val="24"/>
          <w:szCs w:val="24"/>
          <w:lang w:val="el-GR"/>
        </w:rPr>
        <w:t xml:space="preserve"> 2020), το 2021, το ποσοστό των ατόμων με σοβαρή αναπηρία που διαβιούσαν σε </w:t>
      </w:r>
      <w:r w:rsidRPr="007B18CB">
        <w:rPr>
          <w:bCs/>
          <w:sz w:val="24"/>
          <w:szCs w:val="24"/>
          <w:lang w:val="el-GR"/>
        </w:rPr>
        <w:t xml:space="preserve">νοικοκυριά με χαμηλή ένταση εργασίας ήταν </w:t>
      </w:r>
      <w:r w:rsidRPr="007B18CB">
        <w:rPr>
          <w:sz w:val="24"/>
          <w:szCs w:val="24"/>
          <w:lang w:val="el-GR"/>
        </w:rPr>
        <w:t>42,1%</w:t>
      </w:r>
      <w:r w:rsidRPr="007B18CB">
        <w:rPr>
          <w:rStyle w:val="a9"/>
          <w:sz w:val="24"/>
          <w:szCs w:val="24"/>
          <w:lang w:val="el-GR"/>
        </w:rPr>
        <w:footnoteReference w:id="10"/>
      </w:r>
      <w:r w:rsidRPr="007B18CB">
        <w:rPr>
          <w:sz w:val="24"/>
          <w:szCs w:val="24"/>
          <w:lang w:val="el-GR"/>
        </w:rPr>
        <w:t>, ενώ σύμφωνα με τη νέα μέθοδο εκτιμάται σε 34,2%.</w:t>
      </w:r>
    </w:p>
    <w:p w14:paraId="4F2F44FB" w14:textId="77777777" w:rsidR="00FE0FF7" w:rsidRDefault="00FE0FF7" w:rsidP="003677F5">
      <w:pPr>
        <w:rPr>
          <w:lang w:val="el-GR"/>
        </w:rPr>
      </w:pPr>
    </w:p>
    <w:p w14:paraId="4F8226B5" w14:textId="77777777" w:rsidR="003848BC" w:rsidRDefault="003848BC" w:rsidP="003677F5">
      <w:pPr>
        <w:rPr>
          <w:lang w:val="el-GR"/>
        </w:rPr>
      </w:pPr>
    </w:p>
    <w:p w14:paraId="5B031DC0" w14:textId="77777777" w:rsidR="003848BC" w:rsidRDefault="003848BC" w:rsidP="003677F5">
      <w:pPr>
        <w:rPr>
          <w:lang w:val="el-GR"/>
        </w:rPr>
      </w:pPr>
    </w:p>
    <w:p w14:paraId="48357D5A" w14:textId="77777777" w:rsidR="003848BC" w:rsidRDefault="003848BC" w:rsidP="003677F5">
      <w:pPr>
        <w:rPr>
          <w:lang w:val="el-GR"/>
        </w:rPr>
      </w:pPr>
    </w:p>
    <w:p w14:paraId="46E1D36A" w14:textId="77777777" w:rsidR="00FE0FF7" w:rsidRDefault="00FE0FF7" w:rsidP="003677F5">
      <w:pPr>
        <w:rPr>
          <w:lang w:val="el-GR"/>
        </w:rPr>
      </w:pPr>
    </w:p>
    <w:p w14:paraId="07AA4670" w14:textId="77777777" w:rsidR="00FE0FF7" w:rsidRDefault="00FE0FF7" w:rsidP="003677F5">
      <w:pPr>
        <w:rPr>
          <w:lang w:val="el-GR"/>
        </w:rPr>
      </w:pPr>
    </w:p>
    <w:p w14:paraId="2BEF99C7" w14:textId="4716BEA3" w:rsidR="00561CA1" w:rsidRPr="003848BC" w:rsidRDefault="008010AF" w:rsidP="003848BC">
      <w:pPr>
        <w:rPr>
          <w:highlight w:val="yellow"/>
          <w:lang w:val="el-GR"/>
        </w:rPr>
      </w:pPr>
      <w:r>
        <w:rPr>
          <w:noProof/>
        </w:rPr>
        <w:drawing>
          <wp:inline distT="0" distB="0" distL="0" distR="0" wp14:anchorId="634A6A25" wp14:editId="38D6F72A">
            <wp:extent cx="5239910" cy="494927"/>
            <wp:effectExtent l="0" t="0" r="0" b="635"/>
            <wp:docPr id="1442005268"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sectPr w:rsidR="00561CA1" w:rsidRPr="003848BC" w:rsidSect="007F7EFE">
      <w:headerReference w:type="default" r:id="rId18"/>
      <w:footerReference w:type="default" r:id="rId19"/>
      <w:headerReference w:type="first" r:id="rId20"/>
      <w:footerReference w:type="first" r:id="rId21"/>
      <w:pgSz w:w="11906" w:h="16838"/>
      <w:pgMar w:top="1985" w:right="1559" w:bottom="144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20F7" w14:textId="77777777" w:rsidR="0098353A" w:rsidRDefault="0098353A">
      <w:pPr>
        <w:spacing w:line="240" w:lineRule="auto"/>
      </w:pPr>
      <w:r>
        <w:separator/>
      </w:r>
    </w:p>
  </w:endnote>
  <w:endnote w:type="continuationSeparator" w:id="0">
    <w:p w14:paraId="32ECF975" w14:textId="77777777" w:rsidR="0098353A" w:rsidRDefault="00983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27BE" w14:textId="77777777" w:rsidR="007D51AE" w:rsidRDefault="00000000">
    <w:pPr>
      <w:pStyle w:val="a8"/>
      <w:ind w:left="-1701" w:right="140"/>
      <w:jc w:val="right"/>
      <w:rPr>
        <w:lang w:val="el-GR"/>
      </w:rPr>
    </w:pPr>
    <w:r>
      <w:rPr>
        <w:rFonts w:asciiTheme="majorHAnsi" w:eastAsiaTheme="majorEastAsia" w:hAnsiTheme="majorHAnsi" w:cstheme="majorBidi"/>
        <w:sz w:val="20"/>
        <w:szCs w:val="20"/>
        <w:lang w:val="el-GR"/>
      </w:rPr>
      <w:t xml:space="preserve">σελ. </w:t>
    </w:r>
    <w:r>
      <w:rPr>
        <w:rFonts w:eastAsiaTheme="minorEastAsia"/>
        <w:sz w:val="20"/>
        <w:szCs w:val="20"/>
        <w:lang w:val="el-GR"/>
      </w:rPr>
      <w:fldChar w:fldCharType="begin"/>
    </w:r>
    <w:r>
      <w:rPr>
        <w:sz w:val="20"/>
        <w:szCs w:val="20"/>
        <w:lang w:val="el-GR"/>
      </w:rPr>
      <w:instrText>PAGE    \* MERGEFORMAT</w:instrText>
    </w:r>
    <w:r>
      <w:rPr>
        <w:rFonts w:eastAsiaTheme="minorEastAsia"/>
        <w:sz w:val="20"/>
        <w:szCs w:val="20"/>
        <w:lang w:val="el-GR"/>
      </w:rPr>
      <w:fldChar w:fldCharType="separate"/>
    </w:r>
    <w:r>
      <w:rPr>
        <w:rFonts w:eastAsiaTheme="minorEastAsia"/>
        <w:sz w:val="20"/>
        <w:szCs w:val="20"/>
        <w:lang w:val="el-GR"/>
      </w:rPr>
      <w:t>23</w:t>
    </w:r>
    <w:r>
      <w:rPr>
        <w:rFonts w:asciiTheme="majorHAnsi" w:eastAsiaTheme="majorEastAsia" w:hAnsiTheme="majorHAnsi" w:cstheme="majorBidi"/>
        <w:sz w:val="20"/>
        <w:szCs w:val="20"/>
        <w:lang w:val="el-GR"/>
      </w:rPr>
      <w:fldChar w:fldCharType="end"/>
    </w:r>
  </w:p>
  <w:p w14:paraId="2FE950C2" w14:textId="77777777" w:rsidR="007D51AE" w:rsidRDefault="00000000">
    <w:pPr>
      <w:pStyle w:val="a8"/>
    </w:pPr>
    <w:r>
      <w:rPr>
        <w:noProof/>
        <w:lang w:val="el-GR" w:eastAsia="el-GR"/>
      </w:rPr>
      <w:drawing>
        <wp:inline distT="0" distB="0" distL="0" distR="0" wp14:anchorId="4ED75400" wp14:editId="35BE6E66">
          <wp:extent cx="5490845" cy="698500"/>
          <wp:effectExtent l="0" t="0" r="0" b="0"/>
          <wp:docPr id="190441096" name="Εικόνα 47449330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0911" name="Εικόνα 46888091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86FC" w14:textId="77777777" w:rsidR="007D51AE" w:rsidRDefault="00000000">
    <w:pPr>
      <w:pStyle w:val="a8"/>
    </w:pPr>
    <w:r>
      <w:rPr>
        <w:noProof/>
        <w:lang w:val="el-GR" w:eastAsia="el-GR"/>
      </w:rPr>
      <w:drawing>
        <wp:inline distT="0" distB="0" distL="0" distR="0" wp14:anchorId="4AEF5B3E" wp14:editId="5B8C2E44">
          <wp:extent cx="5490845" cy="698500"/>
          <wp:effectExtent l="0" t="0" r="0" b="0"/>
          <wp:docPr id="1560192761" name="Εικόνα 57016927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47998" name="Εικόνα 211744799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p w14:paraId="19B070ED" w14:textId="77777777" w:rsidR="007D51AE" w:rsidRDefault="007D51AE">
    <w:pPr>
      <w:pStyle w:val="a8"/>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F862" w14:textId="77777777" w:rsidR="0098353A" w:rsidRDefault="0098353A">
      <w:pPr>
        <w:spacing w:after="0"/>
      </w:pPr>
      <w:r>
        <w:separator/>
      </w:r>
    </w:p>
  </w:footnote>
  <w:footnote w:type="continuationSeparator" w:id="0">
    <w:p w14:paraId="6A14C13A" w14:textId="77777777" w:rsidR="0098353A" w:rsidRDefault="0098353A">
      <w:pPr>
        <w:spacing w:after="0"/>
      </w:pPr>
      <w:r>
        <w:continuationSeparator/>
      </w:r>
    </w:p>
  </w:footnote>
  <w:footnote w:id="1">
    <w:p w14:paraId="533D4723" w14:textId="77777777" w:rsidR="00843977" w:rsidRPr="007F7EFE" w:rsidRDefault="00843977" w:rsidP="007F7EFE">
      <w:pPr>
        <w:pStyle w:val="aa"/>
        <w:spacing w:after="100"/>
        <w:ind w:left="142" w:hanging="142"/>
        <w:rPr>
          <w:sz w:val="19"/>
          <w:szCs w:val="19"/>
          <w:lang w:val="el-GR"/>
        </w:rPr>
      </w:pPr>
      <w:r w:rsidRPr="007F7EFE">
        <w:rPr>
          <w:rStyle w:val="a9"/>
          <w:sz w:val="19"/>
          <w:szCs w:val="19"/>
        </w:rPr>
        <w:footnoteRef/>
      </w:r>
      <w:r w:rsidRPr="007F7EFE">
        <w:rPr>
          <w:sz w:val="19"/>
          <w:szCs w:val="19"/>
          <w:lang w:val="el-GR"/>
        </w:rPr>
        <w:tab/>
      </w:r>
      <w:hyperlink r:id="rId1" w:history="1">
        <w:r w:rsidRPr="007F7EFE">
          <w:rPr>
            <w:rStyle w:val="-0"/>
            <w:sz w:val="19"/>
            <w:szCs w:val="19"/>
            <w:lang w:val="el-GR"/>
          </w:rPr>
          <w:t>https://www.statistics.gr/el/statistics/-/publication/SFA10/2021</w:t>
        </w:r>
      </w:hyperlink>
    </w:p>
  </w:footnote>
  <w:footnote w:id="2">
    <w:p w14:paraId="4E877A67" w14:textId="0A8AE070" w:rsidR="00AE34F2" w:rsidRPr="007F7EFE" w:rsidRDefault="00843977" w:rsidP="007F7EFE">
      <w:pPr>
        <w:pStyle w:val="aa"/>
        <w:rPr>
          <w:sz w:val="19"/>
          <w:szCs w:val="19"/>
          <w:lang w:val="el-GR"/>
        </w:rPr>
      </w:pPr>
      <w:r w:rsidRPr="007F7EFE">
        <w:rPr>
          <w:rStyle w:val="a9"/>
          <w:sz w:val="19"/>
          <w:szCs w:val="19"/>
        </w:rPr>
        <w:footnoteRef/>
      </w:r>
      <w:r w:rsidRPr="007F7EFE">
        <w:rPr>
          <w:sz w:val="19"/>
          <w:szCs w:val="19"/>
          <w:lang w:val="el-GR"/>
        </w:rPr>
        <w:t xml:space="preserve"> </w:t>
      </w:r>
      <w:r w:rsidR="00AE34F2">
        <w:fldChar w:fldCharType="begin"/>
      </w:r>
      <w:r w:rsidR="00AE34F2">
        <w:instrText>HYPERLINK</w:instrText>
      </w:r>
      <w:r w:rsidR="00AE34F2" w:rsidRPr="000655AA">
        <w:rPr>
          <w:lang w:val="el-GR"/>
        </w:rPr>
        <w:instrText xml:space="preserve"> "</w:instrText>
      </w:r>
      <w:r w:rsidR="00AE34F2">
        <w:instrText>https</w:instrText>
      </w:r>
      <w:r w:rsidR="00AE34F2" w:rsidRPr="000655AA">
        <w:rPr>
          <w:lang w:val="el-GR"/>
        </w:rPr>
        <w:instrText>://</w:instrText>
      </w:r>
      <w:r w:rsidR="00AE34F2">
        <w:instrText>ec</w:instrText>
      </w:r>
      <w:r w:rsidR="00AE34F2" w:rsidRPr="000655AA">
        <w:rPr>
          <w:lang w:val="el-GR"/>
        </w:rPr>
        <w:instrText>.</w:instrText>
      </w:r>
      <w:r w:rsidR="00AE34F2">
        <w:instrText>europa</w:instrText>
      </w:r>
      <w:r w:rsidR="00AE34F2" w:rsidRPr="000655AA">
        <w:rPr>
          <w:lang w:val="el-GR"/>
        </w:rPr>
        <w:instrText>.</w:instrText>
      </w:r>
      <w:r w:rsidR="00AE34F2">
        <w:instrText>eu</w:instrText>
      </w:r>
      <w:r w:rsidR="00AE34F2" w:rsidRPr="000655AA">
        <w:rPr>
          <w:lang w:val="el-GR"/>
        </w:rPr>
        <w:instrText>/</w:instrText>
      </w:r>
      <w:r w:rsidR="00AE34F2">
        <w:instrText>eurostat</w:instrText>
      </w:r>
      <w:r w:rsidR="00AE34F2" w:rsidRPr="000655AA">
        <w:rPr>
          <w:lang w:val="el-GR"/>
        </w:rPr>
        <w:instrText>/</w:instrText>
      </w:r>
      <w:r w:rsidR="00AE34F2">
        <w:instrText>databrowser</w:instrText>
      </w:r>
      <w:r w:rsidR="00AE34F2" w:rsidRPr="000655AA">
        <w:rPr>
          <w:lang w:val="el-GR"/>
        </w:rPr>
        <w:instrText>/</w:instrText>
      </w:r>
      <w:r w:rsidR="00AE34F2">
        <w:instrText>view</w:instrText>
      </w:r>
      <w:r w:rsidR="00AE34F2" w:rsidRPr="000655AA">
        <w:rPr>
          <w:lang w:val="el-GR"/>
        </w:rPr>
        <w:instrText>/</w:instrText>
      </w:r>
      <w:r w:rsidR="00AE34F2">
        <w:instrText>hlth</w:instrText>
      </w:r>
      <w:r w:rsidR="00AE34F2" w:rsidRPr="000655AA">
        <w:rPr>
          <w:lang w:val="el-GR"/>
        </w:rPr>
        <w:instrText>_</w:instrText>
      </w:r>
      <w:r w:rsidR="00AE34F2">
        <w:instrText>silc</w:instrText>
      </w:r>
      <w:r w:rsidR="00AE34F2" w:rsidRPr="000655AA">
        <w:rPr>
          <w:lang w:val="el-GR"/>
        </w:rPr>
        <w:instrText>_12__</w:instrText>
      </w:r>
      <w:r w:rsidR="00AE34F2">
        <w:instrText>custom</w:instrText>
      </w:r>
      <w:r w:rsidR="00AE34F2" w:rsidRPr="000655AA">
        <w:rPr>
          <w:lang w:val="el-GR"/>
        </w:rPr>
        <w:instrText>_14299417/</w:instrText>
      </w:r>
      <w:r w:rsidR="00AE34F2">
        <w:instrText>default</w:instrText>
      </w:r>
      <w:r w:rsidR="00AE34F2" w:rsidRPr="000655AA">
        <w:rPr>
          <w:lang w:val="el-GR"/>
        </w:rPr>
        <w:instrText>/</w:instrText>
      </w:r>
      <w:r w:rsidR="00AE34F2">
        <w:instrText>table</w:instrText>
      </w:r>
      <w:r w:rsidR="00AE34F2" w:rsidRPr="000655AA">
        <w:rPr>
          <w:lang w:val="el-GR"/>
        </w:rPr>
        <w:instrText>?</w:instrText>
      </w:r>
      <w:r w:rsidR="00AE34F2">
        <w:instrText>lang</w:instrText>
      </w:r>
      <w:r w:rsidR="00AE34F2" w:rsidRPr="000655AA">
        <w:rPr>
          <w:lang w:val="el-GR"/>
        </w:rPr>
        <w:instrText>=</w:instrText>
      </w:r>
      <w:r w:rsidR="00AE34F2">
        <w:instrText>en</w:instrText>
      </w:r>
      <w:r w:rsidR="00AE34F2" w:rsidRPr="000655AA">
        <w:rPr>
          <w:lang w:val="el-GR"/>
        </w:rPr>
        <w:instrText>"</w:instrText>
      </w:r>
      <w:r w:rsidR="00AE34F2">
        <w:fldChar w:fldCharType="separate"/>
      </w:r>
      <w:r w:rsidR="00AE34F2" w:rsidRPr="007F7EFE">
        <w:rPr>
          <w:rStyle w:val="-0"/>
          <w:sz w:val="19"/>
          <w:szCs w:val="19"/>
        </w:rPr>
        <w:t>https</w:t>
      </w:r>
      <w:r w:rsidR="00AE34F2" w:rsidRPr="007F7EFE">
        <w:rPr>
          <w:rStyle w:val="-0"/>
          <w:sz w:val="19"/>
          <w:szCs w:val="19"/>
          <w:lang w:val="el-GR"/>
        </w:rPr>
        <w:t>://</w:t>
      </w:r>
      <w:r w:rsidR="00AE34F2" w:rsidRPr="007F7EFE">
        <w:rPr>
          <w:rStyle w:val="-0"/>
          <w:sz w:val="19"/>
          <w:szCs w:val="19"/>
        </w:rPr>
        <w:t>ec</w:t>
      </w:r>
      <w:r w:rsidR="00AE34F2" w:rsidRPr="007F7EFE">
        <w:rPr>
          <w:rStyle w:val="-0"/>
          <w:sz w:val="19"/>
          <w:szCs w:val="19"/>
          <w:lang w:val="el-GR"/>
        </w:rPr>
        <w:t>.</w:t>
      </w:r>
      <w:r w:rsidR="00AE34F2" w:rsidRPr="007F7EFE">
        <w:rPr>
          <w:rStyle w:val="-0"/>
          <w:sz w:val="19"/>
          <w:szCs w:val="19"/>
        </w:rPr>
        <w:t>europa</w:t>
      </w:r>
      <w:r w:rsidR="00AE34F2" w:rsidRPr="007F7EFE">
        <w:rPr>
          <w:rStyle w:val="-0"/>
          <w:sz w:val="19"/>
          <w:szCs w:val="19"/>
          <w:lang w:val="el-GR"/>
        </w:rPr>
        <w:t>.</w:t>
      </w:r>
      <w:r w:rsidR="00AE34F2" w:rsidRPr="007F7EFE">
        <w:rPr>
          <w:rStyle w:val="-0"/>
          <w:sz w:val="19"/>
          <w:szCs w:val="19"/>
        </w:rPr>
        <w:t>eu</w:t>
      </w:r>
      <w:r w:rsidR="00AE34F2" w:rsidRPr="007F7EFE">
        <w:rPr>
          <w:rStyle w:val="-0"/>
          <w:sz w:val="19"/>
          <w:szCs w:val="19"/>
          <w:lang w:val="el-GR"/>
        </w:rPr>
        <w:t>/</w:t>
      </w:r>
      <w:r w:rsidR="00AE34F2" w:rsidRPr="007F7EFE">
        <w:rPr>
          <w:rStyle w:val="-0"/>
          <w:sz w:val="19"/>
          <w:szCs w:val="19"/>
        </w:rPr>
        <w:t>eurostat</w:t>
      </w:r>
      <w:r w:rsidR="00AE34F2" w:rsidRPr="007F7EFE">
        <w:rPr>
          <w:rStyle w:val="-0"/>
          <w:sz w:val="19"/>
          <w:szCs w:val="19"/>
          <w:lang w:val="el-GR"/>
        </w:rPr>
        <w:t>/</w:t>
      </w:r>
      <w:r w:rsidR="00AE34F2" w:rsidRPr="007F7EFE">
        <w:rPr>
          <w:rStyle w:val="-0"/>
          <w:sz w:val="19"/>
          <w:szCs w:val="19"/>
        </w:rPr>
        <w:t>databrowser</w:t>
      </w:r>
      <w:r w:rsidR="00AE34F2" w:rsidRPr="007F7EFE">
        <w:rPr>
          <w:rStyle w:val="-0"/>
          <w:sz w:val="19"/>
          <w:szCs w:val="19"/>
          <w:lang w:val="el-GR"/>
        </w:rPr>
        <w:t>/</w:t>
      </w:r>
      <w:r w:rsidR="00AE34F2" w:rsidRPr="007F7EFE">
        <w:rPr>
          <w:rStyle w:val="-0"/>
          <w:sz w:val="19"/>
          <w:szCs w:val="19"/>
        </w:rPr>
        <w:t>view</w:t>
      </w:r>
      <w:r w:rsidR="00AE34F2" w:rsidRPr="007F7EFE">
        <w:rPr>
          <w:rStyle w:val="-0"/>
          <w:sz w:val="19"/>
          <w:szCs w:val="19"/>
          <w:lang w:val="el-GR"/>
        </w:rPr>
        <w:t>/</w:t>
      </w:r>
      <w:r w:rsidR="00AE34F2" w:rsidRPr="007F7EFE">
        <w:rPr>
          <w:rStyle w:val="-0"/>
          <w:sz w:val="19"/>
          <w:szCs w:val="19"/>
        </w:rPr>
        <w:t>hlth</w:t>
      </w:r>
      <w:r w:rsidR="00AE34F2" w:rsidRPr="007F7EFE">
        <w:rPr>
          <w:rStyle w:val="-0"/>
          <w:sz w:val="19"/>
          <w:szCs w:val="19"/>
          <w:lang w:val="el-GR"/>
        </w:rPr>
        <w:t>_</w:t>
      </w:r>
      <w:r w:rsidR="00AE34F2" w:rsidRPr="007F7EFE">
        <w:rPr>
          <w:rStyle w:val="-0"/>
          <w:sz w:val="19"/>
          <w:szCs w:val="19"/>
        </w:rPr>
        <w:t>silc</w:t>
      </w:r>
      <w:r w:rsidR="00AE34F2" w:rsidRPr="007F7EFE">
        <w:rPr>
          <w:rStyle w:val="-0"/>
          <w:sz w:val="19"/>
          <w:szCs w:val="19"/>
          <w:lang w:val="el-GR"/>
        </w:rPr>
        <w:t>_12__</w:t>
      </w:r>
      <w:r w:rsidR="00AE34F2" w:rsidRPr="007F7EFE">
        <w:rPr>
          <w:rStyle w:val="-0"/>
          <w:sz w:val="19"/>
          <w:szCs w:val="19"/>
        </w:rPr>
        <w:t>custom</w:t>
      </w:r>
      <w:r w:rsidR="00AE34F2" w:rsidRPr="007F7EFE">
        <w:rPr>
          <w:rStyle w:val="-0"/>
          <w:sz w:val="19"/>
          <w:szCs w:val="19"/>
          <w:lang w:val="el-GR"/>
        </w:rPr>
        <w:t>_14299417/</w:t>
      </w:r>
      <w:r w:rsidR="00AE34F2" w:rsidRPr="007F7EFE">
        <w:rPr>
          <w:rStyle w:val="-0"/>
          <w:sz w:val="19"/>
          <w:szCs w:val="19"/>
        </w:rPr>
        <w:t>default</w:t>
      </w:r>
      <w:r w:rsidR="00AE34F2" w:rsidRPr="007F7EFE">
        <w:rPr>
          <w:rStyle w:val="-0"/>
          <w:sz w:val="19"/>
          <w:szCs w:val="19"/>
          <w:lang w:val="el-GR"/>
        </w:rPr>
        <w:t>/</w:t>
      </w:r>
      <w:r w:rsidR="00AE34F2" w:rsidRPr="007F7EFE">
        <w:rPr>
          <w:rStyle w:val="-0"/>
          <w:sz w:val="19"/>
          <w:szCs w:val="19"/>
        </w:rPr>
        <w:t>table</w:t>
      </w:r>
      <w:r w:rsidR="00AE34F2" w:rsidRPr="007F7EFE">
        <w:rPr>
          <w:rStyle w:val="-0"/>
          <w:sz w:val="19"/>
          <w:szCs w:val="19"/>
          <w:lang w:val="el-GR"/>
        </w:rPr>
        <w:t>?</w:t>
      </w:r>
      <w:r w:rsidR="00AE34F2" w:rsidRPr="007F7EFE">
        <w:rPr>
          <w:rStyle w:val="-0"/>
          <w:sz w:val="19"/>
          <w:szCs w:val="19"/>
        </w:rPr>
        <w:t>lang</w:t>
      </w:r>
      <w:r w:rsidR="00AE34F2" w:rsidRPr="007F7EFE">
        <w:rPr>
          <w:rStyle w:val="-0"/>
          <w:sz w:val="19"/>
          <w:szCs w:val="19"/>
          <w:lang w:val="el-GR"/>
        </w:rPr>
        <w:t>=</w:t>
      </w:r>
      <w:r w:rsidR="00AE34F2" w:rsidRPr="007F7EFE">
        <w:rPr>
          <w:rStyle w:val="-0"/>
          <w:sz w:val="19"/>
          <w:szCs w:val="19"/>
        </w:rPr>
        <w:t>en</w:t>
      </w:r>
      <w:r w:rsidR="00AE34F2">
        <w:fldChar w:fldCharType="end"/>
      </w:r>
    </w:p>
  </w:footnote>
  <w:footnote w:id="3">
    <w:p w14:paraId="7A56AF37" w14:textId="77777777" w:rsidR="00602449" w:rsidRPr="007F7EFE" w:rsidRDefault="00602449" w:rsidP="007F7EFE">
      <w:pPr>
        <w:pStyle w:val="aa"/>
        <w:spacing w:after="100"/>
        <w:ind w:left="142" w:hanging="142"/>
        <w:rPr>
          <w:sz w:val="19"/>
          <w:szCs w:val="19"/>
          <w:lang w:val="el-GR"/>
        </w:rPr>
      </w:pPr>
      <w:r w:rsidRPr="007F7EFE">
        <w:rPr>
          <w:rStyle w:val="a9"/>
          <w:sz w:val="19"/>
          <w:szCs w:val="19"/>
        </w:rPr>
        <w:footnoteRef/>
      </w:r>
      <w:r w:rsidRPr="007F7EFE">
        <w:rPr>
          <w:sz w:val="19"/>
          <w:szCs w:val="19"/>
          <w:lang w:val="el-GR"/>
        </w:rPr>
        <w:tab/>
      </w:r>
      <w:r>
        <w:fldChar w:fldCharType="begin"/>
      </w:r>
      <w:r>
        <w:instrText>HYPERLINK</w:instrText>
      </w:r>
      <w:r w:rsidRPr="000655AA">
        <w:rPr>
          <w:lang w:val="el-GR"/>
        </w:rPr>
        <w:instrText xml:space="preserve"> "</w:instrText>
      </w:r>
      <w:r>
        <w:instrText>https</w:instrText>
      </w:r>
      <w:r w:rsidRPr="000655AA">
        <w:rPr>
          <w:lang w:val="el-GR"/>
        </w:rPr>
        <w:instrText>://</w:instrText>
      </w:r>
      <w:r>
        <w:instrText>ec</w:instrText>
      </w:r>
      <w:r w:rsidRPr="000655AA">
        <w:rPr>
          <w:lang w:val="el-GR"/>
        </w:rPr>
        <w:instrText>.</w:instrText>
      </w:r>
      <w:r>
        <w:instrText>europa</w:instrText>
      </w:r>
      <w:r w:rsidRPr="000655AA">
        <w:rPr>
          <w:lang w:val="el-GR"/>
        </w:rPr>
        <w:instrText>.</w:instrText>
      </w:r>
      <w:r>
        <w:instrText>eu</w:instrText>
      </w:r>
      <w:r w:rsidRPr="000655AA">
        <w:rPr>
          <w:lang w:val="el-GR"/>
        </w:rPr>
        <w:instrText>/</w:instrText>
      </w:r>
      <w:r>
        <w:instrText>eurostat</w:instrText>
      </w:r>
      <w:r w:rsidRPr="000655AA">
        <w:rPr>
          <w:lang w:val="el-GR"/>
        </w:rPr>
        <w:instrText>/</w:instrText>
      </w:r>
      <w:r>
        <w:instrText>databrowser</w:instrText>
      </w:r>
      <w:r w:rsidRPr="000655AA">
        <w:rPr>
          <w:lang w:val="el-GR"/>
        </w:rPr>
        <w:instrText>/</w:instrText>
      </w:r>
      <w:r>
        <w:instrText>view</w:instrText>
      </w:r>
      <w:r w:rsidRPr="000655AA">
        <w:rPr>
          <w:lang w:val="el-GR"/>
        </w:rPr>
        <w:instrText>/</w:instrText>
      </w:r>
      <w:r>
        <w:instrText>HLTH</w:instrText>
      </w:r>
      <w:r w:rsidRPr="000655AA">
        <w:rPr>
          <w:lang w:val="el-GR"/>
        </w:rPr>
        <w:instrText>_</w:instrText>
      </w:r>
      <w:r>
        <w:instrText>SILC</w:instrText>
      </w:r>
      <w:r w:rsidRPr="000655AA">
        <w:rPr>
          <w:lang w:val="el-GR"/>
        </w:rPr>
        <w:instrText>_12__</w:instrText>
      </w:r>
      <w:r>
        <w:instrText>custom</w:instrText>
      </w:r>
      <w:r w:rsidRPr="000655AA">
        <w:rPr>
          <w:lang w:val="el-GR"/>
        </w:rPr>
        <w:instrText>_6197782/</w:instrText>
      </w:r>
      <w:r>
        <w:instrText>default</w:instrText>
      </w:r>
      <w:r w:rsidRPr="000655AA">
        <w:rPr>
          <w:lang w:val="el-GR"/>
        </w:rPr>
        <w:instrText>/</w:instrText>
      </w:r>
      <w:r>
        <w:instrText>table</w:instrText>
      </w:r>
      <w:r w:rsidRPr="000655AA">
        <w:rPr>
          <w:lang w:val="el-GR"/>
        </w:rPr>
        <w:instrText>?</w:instrText>
      </w:r>
      <w:r>
        <w:instrText>lang</w:instrText>
      </w:r>
      <w:r w:rsidRPr="000655AA">
        <w:rPr>
          <w:lang w:val="el-GR"/>
        </w:rPr>
        <w:instrText>=</w:instrText>
      </w:r>
      <w:r>
        <w:instrText>en</w:instrText>
      </w:r>
      <w:r w:rsidRPr="000655AA">
        <w:rPr>
          <w:lang w:val="el-GR"/>
        </w:rPr>
        <w:instrText>"</w:instrText>
      </w:r>
      <w:r>
        <w:fldChar w:fldCharType="separate"/>
      </w:r>
      <w:r w:rsidRPr="007F7EFE">
        <w:rPr>
          <w:rStyle w:val="-0"/>
          <w:rFonts w:cstheme="minorHAnsi"/>
          <w:sz w:val="19"/>
          <w:szCs w:val="19"/>
          <w:lang w:val="el-GR"/>
        </w:rPr>
        <w:t>https://ec.europa.eu/eurostat/databrowser/view/HLTH_SILC_12__custom_6197782/default/table?lang=en</w:t>
      </w:r>
      <w:r>
        <w:fldChar w:fldCharType="end"/>
      </w:r>
      <w:r w:rsidRPr="007F7EFE">
        <w:rPr>
          <w:sz w:val="19"/>
          <w:szCs w:val="19"/>
          <w:lang w:val="el-GR"/>
        </w:rPr>
        <w:t xml:space="preserve"> </w:t>
      </w:r>
    </w:p>
  </w:footnote>
  <w:footnote w:id="4">
    <w:p w14:paraId="312FEBF3" w14:textId="469A9F12" w:rsidR="00CD137A" w:rsidRPr="007F7EFE" w:rsidRDefault="00CD137A" w:rsidP="007F7EFE">
      <w:pPr>
        <w:pStyle w:val="aa"/>
        <w:rPr>
          <w:sz w:val="19"/>
          <w:szCs w:val="19"/>
          <w:lang w:val="el-GR"/>
        </w:rPr>
      </w:pPr>
      <w:r w:rsidRPr="007F7EFE">
        <w:rPr>
          <w:rStyle w:val="a9"/>
          <w:sz w:val="19"/>
          <w:szCs w:val="19"/>
        </w:rPr>
        <w:footnoteRef/>
      </w:r>
      <w:r w:rsidRPr="007F7EFE">
        <w:rPr>
          <w:sz w:val="19"/>
          <w:szCs w:val="19"/>
          <w:lang w:val="el-GR"/>
        </w:rPr>
        <w:t xml:space="preserve"> </w:t>
      </w:r>
      <w:r w:rsidR="007F7EFE">
        <w:fldChar w:fldCharType="begin"/>
      </w:r>
      <w:r w:rsidR="007F7EFE">
        <w:instrText>HYPERLINK</w:instrText>
      </w:r>
      <w:r w:rsidR="007F7EFE" w:rsidRPr="000655AA">
        <w:rPr>
          <w:lang w:val="el-GR"/>
        </w:rPr>
        <w:instrText xml:space="preserve"> "</w:instrText>
      </w:r>
      <w:r w:rsidR="007F7EFE">
        <w:instrText>https</w:instrText>
      </w:r>
      <w:r w:rsidR="007F7EFE" w:rsidRPr="000655AA">
        <w:rPr>
          <w:lang w:val="el-GR"/>
        </w:rPr>
        <w:instrText>://</w:instrText>
      </w:r>
      <w:r w:rsidR="007F7EFE">
        <w:instrText>www</w:instrText>
      </w:r>
      <w:r w:rsidR="007F7EFE" w:rsidRPr="000655AA">
        <w:rPr>
          <w:lang w:val="el-GR"/>
        </w:rPr>
        <w:instrText>.</w:instrText>
      </w:r>
      <w:r w:rsidR="007F7EFE">
        <w:instrText>esamea</w:instrText>
      </w:r>
      <w:r w:rsidR="007F7EFE" w:rsidRPr="000655AA">
        <w:rPr>
          <w:lang w:val="el-GR"/>
        </w:rPr>
        <w:instrText>.</w:instrText>
      </w:r>
      <w:r w:rsidR="007F7EFE">
        <w:instrText>gr</w:instrText>
      </w:r>
      <w:r w:rsidR="007F7EFE" w:rsidRPr="000655AA">
        <w:rPr>
          <w:lang w:val="el-GR"/>
        </w:rPr>
        <w:instrText>/</w:instrText>
      </w:r>
      <w:r w:rsidR="007F7EFE">
        <w:instrText>el</w:instrText>
      </w:r>
      <w:r w:rsidR="007F7EFE" w:rsidRPr="000655AA">
        <w:rPr>
          <w:lang w:val="el-GR"/>
        </w:rPr>
        <w:instrText>/</w:instrText>
      </w:r>
      <w:r w:rsidR="007F7EFE">
        <w:instrText>article</w:instrText>
      </w:r>
      <w:r w:rsidR="007F7EFE" w:rsidRPr="000655AA">
        <w:rPr>
          <w:lang w:val="el-GR"/>
        </w:rPr>
        <w:instrText>/</w:instrText>
      </w:r>
      <w:r w:rsidR="007F7EFE">
        <w:instrText>paroysiasthkan</w:instrText>
      </w:r>
      <w:r w:rsidR="007F7EFE" w:rsidRPr="000655AA">
        <w:rPr>
          <w:lang w:val="el-GR"/>
        </w:rPr>
        <w:instrText>-</w:instrText>
      </w:r>
      <w:r w:rsidR="007F7EFE">
        <w:instrText>ta</w:instrText>
      </w:r>
      <w:r w:rsidR="007F7EFE" w:rsidRPr="000655AA">
        <w:rPr>
          <w:lang w:val="el-GR"/>
        </w:rPr>
        <w:instrText>-</w:instrText>
      </w:r>
      <w:r w:rsidR="007F7EFE">
        <w:instrText>apotelesmata</w:instrText>
      </w:r>
      <w:r w:rsidR="007F7EFE" w:rsidRPr="000655AA">
        <w:rPr>
          <w:lang w:val="el-GR"/>
        </w:rPr>
        <w:instrText>-</w:instrText>
      </w:r>
      <w:r w:rsidR="007F7EFE">
        <w:instrText>ths</w:instrText>
      </w:r>
      <w:r w:rsidR="007F7EFE" w:rsidRPr="000655AA">
        <w:rPr>
          <w:lang w:val="el-GR"/>
        </w:rPr>
        <w:instrText>-</w:instrText>
      </w:r>
      <w:r w:rsidR="007F7EFE">
        <w:instrText>ereynas</w:instrText>
      </w:r>
      <w:r w:rsidR="007F7EFE" w:rsidRPr="000655AA">
        <w:rPr>
          <w:lang w:val="el-GR"/>
        </w:rPr>
        <w:instrText>-</w:instrText>
      </w:r>
      <w:r w:rsidR="007F7EFE">
        <w:instrText>gia</w:instrText>
      </w:r>
      <w:r w:rsidR="007F7EFE" w:rsidRPr="000655AA">
        <w:rPr>
          <w:lang w:val="el-GR"/>
        </w:rPr>
        <w:instrText>-</w:instrText>
      </w:r>
      <w:r w:rsidR="007F7EFE">
        <w:instrText>thn</w:instrText>
      </w:r>
      <w:r w:rsidR="007F7EFE" w:rsidRPr="000655AA">
        <w:rPr>
          <w:lang w:val="el-GR"/>
        </w:rPr>
        <w:instrText>-</w:instrText>
      </w:r>
      <w:r w:rsidR="007F7EFE">
        <w:instrText>prosbash</w:instrText>
      </w:r>
      <w:r w:rsidR="007F7EFE" w:rsidRPr="000655AA">
        <w:rPr>
          <w:lang w:val="el-GR"/>
        </w:rPr>
        <w:instrText>-</w:instrText>
      </w:r>
      <w:r w:rsidR="007F7EFE">
        <w:instrText>twn</w:instrText>
      </w:r>
      <w:r w:rsidR="007F7EFE" w:rsidRPr="000655AA">
        <w:rPr>
          <w:lang w:val="el-GR"/>
        </w:rPr>
        <w:instrText>-</w:instrText>
      </w:r>
      <w:r w:rsidR="007F7EFE">
        <w:instrText>atomwn</w:instrText>
      </w:r>
      <w:r w:rsidR="007F7EFE" w:rsidRPr="000655AA">
        <w:rPr>
          <w:lang w:val="el-GR"/>
        </w:rPr>
        <w:instrText>-</w:instrText>
      </w:r>
      <w:r w:rsidR="007F7EFE">
        <w:instrText>me</w:instrText>
      </w:r>
      <w:r w:rsidR="007F7EFE" w:rsidRPr="000655AA">
        <w:rPr>
          <w:lang w:val="el-GR"/>
        </w:rPr>
        <w:instrText>-</w:instrText>
      </w:r>
      <w:r w:rsidR="007F7EFE">
        <w:instrText>anaphria</w:instrText>
      </w:r>
      <w:r w:rsidR="007F7EFE" w:rsidRPr="000655AA">
        <w:rPr>
          <w:lang w:val="el-GR"/>
        </w:rPr>
        <w:instrText>-</w:instrText>
      </w:r>
      <w:r w:rsidR="007F7EFE">
        <w:instrText>xronies</w:instrText>
      </w:r>
      <w:r w:rsidR="007F7EFE" w:rsidRPr="000655AA">
        <w:rPr>
          <w:lang w:val="el-GR"/>
        </w:rPr>
        <w:instrText>-</w:instrText>
      </w:r>
      <w:r w:rsidR="007F7EFE">
        <w:instrText>spanies</w:instrText>
      </w:r>
      <w:r w:rsidR="007F7EFE" w:rsidRPr="000655AA">
        <w:rPr>
          <w:lang w:val="el-GR"/>
        </w:rPr>
        <w:instrText>-</w:instrText>
      </w:r>
      <w:r w:rsidR="007F7EFE">
        <w:instrText>pathhseis</w:instrText>
      </w:r>
      <w:r w:rsidR="007F7EFE" w:rsidRPr="000655AA">
        <w:rPr>
          <w:lang w:val="el-GR"/>
        </w:rPr>
        <w:instrText>-</w:instrText>
      </w:r>
      <w:r w:rsidR="007F7EFE">
        <w:instrText>sthn</w:instrText>
      </w:r>
      <w:r w:rsidR="007F7EFE" w:rsidRPr="000655AA">
        <w:rPr>
          <w:lang w:val="el-GR"/>
        </w:rPr>
        <w:instrText>-</w:instrText>
      </w:r>
      <w:r w:rsidR="007F7EFE">
        <w:instrText>ygeia</w:instrText>
      </w:r>
      <w:r w:rsidR="007F7EFE" w:rsidRPr="000655AA">
        <w:rPr>
          <w:lang w:val="el-GR"/>
        </w:rPr>
        <w:instrText>"</w:instrText>
      </w:r>
      <w:r w:rsidR="007F7EFE">
        <w:fldChar w:fldCharType="separate"/>
      </w:r>
      <w:r w:rsidR="007F7EFE" w:rsidRPr="00620A2E">
        <w:rPr>
          <w:rStyle w:val="-0"/>
          <w:sz w:val="19"/>
          <w:szCs w:val="19"/>
          <w:lang w:val="el-GR"/>
        </w:rPr>
        <w:t>https://www.esamea.gr/el/article/paroysiasthkan-ta-apotelesmata-ths-ereynas-gia-thn-prosbash-twn-atomwn-me-anaphria-xronies-spanies-pathhseis-sthn-ygeia</w:t>
      </w:r>
      <w:r w:rsidR="007F7EFE">
        <w:fldChar w:fldCharType="end"/>
      </w:r>
    </w:p>
  </w:footnote>
  <w:footnote w:id="5">
    <w:p w14:paraId="52C11AAE" w14:textId="78D14D14" w:rsidR="005B098B" w:rsidRPr="007F7EFE" w:rsidRDefault="005B098B" w:rsidP="007E4A61">
      <w:pPr>
        <w:pStyle w:val="aa"/>
        <w:jc w:val="both"/>
        <w:rPr>
          <w:sz w:val="19"/>
          <w:szCs w:val="19"/>
          <w:lang w:val="el-GR"/>
        </w:rPr>
      </w:pPr>
      <w:r w:rsidRPr="007F7EFE">
        <w:rPr>
          <w:rStyle w:val="a9"/>
          <w:sz w:val="19"/>
          <w:szCs w:val="19"/>
        </w:rPr>
        <w:footnoteRef/>
      </w:r>
      <w:r w:rsidRPr="007F7EFE">
        <w:rPr>
          <w:sz w:val="19"/>
          <w:szCs w:val="19"/>
          <w:lang w:val="el-GR"/>
        </w:rPr>
        <w:t xml:space="preserve"> Πρόκειται για τη διαφορά του ποσοστού του πληθυσμού με σοβαρή αναπηρία σε κίνδυνο φτώχειας ή σε κοινωνικό αποκλεισμό και του αντίστοιχου ποσοστού χωρίς αναπηρία.</w:t>
      </w:r>
    </w:p>
  </w:footnote>
  <w:footnote w:id="6">
    <w:p w14:paraId="597FFE17" w14:textId="77777777" w:rsidR="003677F5" w:rsidRPr="007F7EFE" w:rsidRDefault="003677F5" w:rsidP="001E48DB">
      <w:pPr>
        <w:pStyle w:val="aa"/>
        <w:spacing w:after="100"/>
        <w:ind w:left="142" w:hanging="142"/>
        <w:jc w:val="both"/>
        <w:rPr>
          <w:rFonts w:cstheme="minorHAnsi"/>
          <w:sz w:val="19"/>
          <w:szCs w:val="19"/>
          <w:lang w:val="el-GR"/>
        </w:rPr>
      </w:pPr>
      <w:r w:rsidRPr="007F7EFE">
        <w:rPr>
          <w:rFonts w:cstheme="minorHAnsi"/>
          <w:sz w:val="19"/>
          <w:szCs w:val="19"/>
          <w:vertAlign w:val="superscript"/>
          <w:lang w:val="el-GR"/>
        </w:rPr>
        <w:footnoteRef/>
      </w:r>
      <w:r w:rsidRPr="007F7EFE">
        <w:rPr>
          <w:sz w:val="19"/>
          <w:szCs w:val="19"/>
          <w:lang w:val="el-GR"/>
        </w:rPr>
        <w:tab/>
      </w:r>
      <w:r w:rsidRPr="007F7EFE">
        <w:rPr>
          <w:rFonts w:cstheme="minorHAnsi"/>
          <w:sz w:val="19"/>
          <w:szCs w:val="19"/>
          <w:lang w:val="el-GR"/>
        </w:rPr>
        <w:t>Προκειμένου να αντισταθμιστούν οι περιορισμοί του δείκτη γίνεται αρκετές φορές χρήση εναλλακτικών μεθόδων μέτρησης όπως ο υπολογισμός του δείκτη με σταθερό όριο φτώχειας, πληθωρισμένο με στοιχεία από τον εναρμονισμένο δείκτη τιμών καταναλωτή.</w:t>
      </w:r>
    </w:p>
  </w:footnote>
  <w:footnote w:id="7">
    <w:p w14:paraId="1EF88C06" w14:textId="4CA30076" w:rsidR="001E48DB" w:rsidRPr="007F7EFE" w:rsidRDefault="001E48DB" w:rsidP="001E48DB">
      <w:pPr>
        <w:pStyle w:val="aa"/>
        <w:rPr>
          <w:sz w:val="19"/>
          <w:szCs w:val="19"/>
          <w:lang w:val="el-GR"/>
        </w:rPr>
      </w:pPr>
      <w:r w:rsidRPr="007F7EFE">
        <w:rPr>
          <w:rStyle w:val="a9"/>
          <w:sz w:val="19"/>
          <w:szCs w:val="19"/>
        </w:rPr>
        <w:footnoteRef/>
      </w:r>
      <w:r w:rsidRPr="007F7EFE">
        <w:rPr>
          <w:sz w:val="19"/>
          <w:szCs w:val="19"/>
          <w:lang w:val="el-GR"/>
        </w:rPr>
        <w:t xml:space="preserve"> </w:t>
      </w:r>
      <w:r>
        <w:fldChar w:fldCharType="begin"/>
      </w:r>
      <w:r>
        <w:instrText>HYPERLINK</w:instrText>
      </w:r>
      <w:r w:rsidRPr="000655AA">
        <w:rPr>
          <w:lang w:val="el-GR"/>
        </w:rPr>
        <w:instrText xml:space="preserve"> "</w:instrText>
      </w:r>
      <w:r>
        <w:instrText>https</w:instrText>
      </w:r>
      <w:r w:rsidRPr="000655AA">
        <w:rPr>
          <w:lang w:val="el-GR"/>
        </w:rPr>
        <w:instrText>://</w:instrText>
      </w:r>
      <w:r>
        <w:instrText>www</w:instrText>
      </w:r>
      <w:r w:rsidRPr="000655AA">
        <w:rPr>
          <w:lang w:val="el-GR"/>
        </w:rPr>
        <w:instrText>.</w:instrText>
      </w:r>
      <w:r>
        <w:instrText>statistics</w:instrText>
      </w:r>
      <w:r w:rsidRPr="000655AA">
        <w:rPr>
          <w:lang w:val="el-GR"/>
        </w:rPr>
        <w:instrText>.</w:instrText>
      </w:r>
      <w:r>
        <w:instrText>gr</w:instrText>
      </w:r>
      <w:r w:rsidRPr="000655AA">
        <w:rPr>
          <w:lang w:val="el-GR"/>
        </w:rPr>
        <w:instrText>/</w:instrText>
      </w:r>
      <w:r>
        <w:instrText>el</w:instrText>
      </w:r>
      <w:r w:rsidRPr="000655AA">
        <w:rPr>
          <w:lang w:val="el-GR"/>
        </w:rPr>
        <w:instrText>/</w:instrText>
      </w:r>
      <w:r>
        <w:instrText>statistics</w:instrText>
      </w:r>
      <w:r w:rsidRPr="000655AA">
        <w:rPr>
          <w:lang w:val="el-GR"/>
        </w:rPr>
        <w:instrText>/-/</w:instrText>
      </w:r>
      <w:r>
        <w:instrText>publication</w:instrText>
      </w:r>
      <w:r w:rsidRPr="000655AA">
        <w:rPr>
          <w:lang w:val="el-GR"/>
        </w:rPr>
        <w:instrText>/</w:instrText>
      </w:r>
      <w:r>
        <w:instrText>SFA</w:instrText>
      </w:r>
      <w:r w:rsidRPr="000655AA">
        <w:rPr>
          <w:lang w:val="el-GR"/>
        </w:rPr>
        <w:instrText>10/2023"</w:instrText>
      </w:r>
      <w:r>
        <w:fldChar w:fldCharType="separate"/>
      </w:r>
      <w:r w:rsidRPr="00620A2E">
        <w:rPr>
          <w:rStyle w:val="-0"/>
          <w:sz w:val="19"/>
          <w:szCs w:val="19"/>
        </w:rPr>
        <w:t>https</w:t>
      </w:r>
      <w:r w:rsidRPr="00620A2E">
        <w:rPr>
          <w:rStyle w:val="-0"/>
          <w:sz w:val="19"/>
          <w:szCs w:val="19"/>
          <w:lang w:val="el-GR"/>
        </w:rPr>
        <w:t>://</w:t>
      </w:r>
      <w:r w:rsidRPr="00620A2E">
        <w:rPr>
          <w:rStyle w:val="-0"/>
          <w:sz w:val="19"/>
          <w:szCs w:val="19"/>
        </w:rPr>
        <w:t>www</w:t>
      </w:r>
      <w:r w:rsidRPr="00620A2E">
        <w:rPr>
          <w:rStyle w:val="-0"/>
          <w:sz w:val="19"/>
          <w:szCs w:val="19"/>
          <w:lang w:val="el-GR"/>
        </w:rPr>
        <w:t>.</w:t>
      </w:r>
      <w:r w:rsidRPr="00620A2E">
        <w:rPr>
          <w:rStyle w:val="-0"/>
          <w:sz w:val="19"/>
          <w:szCs w:val="19"/>
        </w:rPr>
        <w:t>statistics</w:t>
      </w:r>
      <w:r w:rsidRPr="00620A2E">
        <w:rPr>
          <w:rStyle w:val="-0"/>
          <w:sz w:val="19"/>
          <w:szCs w:val="19"/>
          <w:lang w:val="el-GR"/>
        </w:rPr>
        <w:t>.</w:t>
      </w:r>
      <w:r w:rsidRPr="00620A2E">
        <w:rPr>
          <w:rStyle w:val="-0"/>
          <w:sz w:val="19"/>
          <w:szCs w:val="19"/>
        </w:rPr>
        <w:t>gr</w:t>
      </w:r>
      <w:r w:rsidRPr="00620A2E">
        <w:rPr>
          <w:rStyle w:val="-0"/>
          <w:sz w:val="19"/>
          <w:szCs w:val="19"/>
          <w:lang w:val="el-GR"/>
        </w:rPr>
        <w:t>/</w:t>
      </w:r>
      <w:r w:rsidRPr="00620A2E">
        <w:rPr>
          <w:rStyle w:val="-0"/>
          <w:sz w:val="19"/>
          <w:szCs w:val="19"/>
        </w:rPr>
        <w:t>el</w:t>
      </w:r>
      <w:r w:rsidRPr="00620A2E">
        <w:rPr>
          <w:rStyle w:val="-0"/>
          <w:sz w:val="19"/>
          <w:szCs w:val="19"/>
          <w:lang w:val="el-GR"/>
        </w:rPr>
        <w:t>/</w:t>
      </w:r>
      <w:r w:rsidRPr="00620A2E">
        <w:rPr>
          <w:rStyle w:val="-0"/>
          <w:sz w:val="19"/>
          <w:szCs w:val="19"/>
        </w:rPr>
        <w:t>statistics</w:t>
      </w:r>
      <w:r w:rsidRPr="00620A2E">
        <w:rPr>
          <w:rStyle w:val="-0"/>
          <w:sz w:val="19"/>
          <w:szCs w:val="19"/>
          <w:lang w:val="el-GR"/>
        </w:rPr>
        <w:t>/-/</w:t>
      </w:r>
      <w:r w:rsidRPr="00620A2E">
        <w:rPr>
          <w:rStyle w:val="-0"/>
          <w:sz w:val="19"/>
          <w:szCs w:val="19"/>
        </w:rPr>
        <w:t>publication</w:t>
      </w:r>
      <w:r w:rsidRPr="00620A2E">
        <w:rPr>
          <w:rStyle w:val="-0"/>
          <w:sz w:val="19"/>
          <w:szCs w:val="19"/>
          <w:lang w:val="el-GR"/>
        </w:rPr>
        <w:t>/</w:t>
      </w:r>
      <w:r w:rsidRPr="00620A2E">
        <w:rPr>
          <w:rStyle w:val="-0"/>
          <w:sz w:val="19"/>
          <w:szCs w:val="19"/>
        </w:rPr>
        <w:t>SFA</w:t>
      </w:r>
      <w:r w:rsidRPr="00620A2E">
        <w:rPr>
          <w:rStyle w:val="-0"/>
          <w:sz w:val="19"/>
          <w:szCs w:val="19"/>
          <w:lang w:val="el-GR"/>
        </w:rPr>
        <w:t>10/2023</w:t>
      </w:r>
      <w:r>
        <w:fldChar w:fldCharType="end"/>
      </w:r>
    </w:p>
  </w:footnote>
  <w:footnote w:id="8">
    <w:p w14:paraId="22C4E8E5" w14:textId="423DFD77" w:rsidR="003677F5" w:rsidRPr="007F7EFE" w:rsidRDefault="003677F5" w:rsidP="001E48DB">
      <w:pPr>
        <w:pStyle w:val="aa"/>
        <w:spacing w:after="100"/>
        <w:ind w:left="142" w:hanging="142"/>
        <w:jc w:val="both"/>
        <w:rPr>
          <w:rFonts w:cstheme="minorHAnsi"/>
          <w:sz w:val="19"/>
          <w:szCs w:val="19"/>
          <w:lang w:val="el-GR"/>
        </w:rPr>
      </w:pPr>
      <w:r w:rsidRPr="007F7EFE">
        <w:rPr>
          <w:rFonts w:cstheme="minorHAnsi"/>
          <w:sz w:val="19"/>
          <w:szCs w:val="19"/>
          <w:vertAlign w:val="superscript"/>
          <w:lang w:val="el-GR"/>
        </w:rPr>
        <w:footnoteRef/>
      </w:r>
      <w:r w:rsidRPr="007F7EFE">
        <w:rPr>
          <w:sz w:val="19"/>
          <w:szCs w:val="19"/>
          <w:lang w:val="el-GR"/>
        </w:rPr>
        <w:tab/>
      </w:r>
      <w:r w:rsidRPr="007F7EFE">
        <w:rPr>
          <w:rFonts w:cstheme="minorHAnsi"/>
          <w:sz w:val="19"/>
          <w:szCs w:val="19"/>
          <w:lang w:val="el-GR"/>
        </w:rPr>
        <w:t>Κοινωνικές μεταβιβάσεις θεωρούνται τα κοινωνικά επιδόματα, δηλαδή η κοινωνική βοήθεια (Κοινωνικό Μέρισμα, Κοινωνικό Εισόδημα Αλληλεγγύης, ΕΚΑΣ, εισοδηματικές ενισχύσεις σε νοικοκυριά μόνιμων κατοίκων ορεινών και μειονεκτικών περιοχών, επίδομα μακροχρόνια ανέργων ηλικίας 20-66 ετών κλπ.), τα οικογενειακά επιδόματα, τα επιδόματα/βοηθήματα ανεργίας, τα επιδόματα/βοηθήματα ασθένειας, τα επιδόματα/ βοηθήματα αναπηρίας-ανικανότητας και οι εκπαιδευτικές παροχές και οι συντάξεις (δηλαδή συντάξεις γήρατος από εργασία και συντάξεις/βοηθήματα από τον/τη σύζυγο): Πηγή: 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9">
    <w:p w14:paraId="0E63AA0B" w14:textId="5B2AF619" w:rsidR="003C66F6" w:rsidRPr="005108B6" w:rsidRDefault="003C66F6" w:rsidP="007F7EFE">
      <w:pPr>
        <w:pStyle w:val="aa"/>
        <w:rPr>
          <w:sz w:val="19"/>
          <w:szCs w:val="19"/>
          <w:lang w:val="el-GR"/>
        </w:rPr>
      </w:pPr>
      <w:r w:rsidRPr="007F7EFE">
        <w:rPr>
          <w:rStyle w:val="a9"/>
          <w:sz w:val="19"/>
          <w:szCs w:val="19"/>
        </w:rPr>
        <w:footnoteRef/>
      </w:r>
      <w:r w:rsidRPr="007F7EFE">
        <w:rPr>
          <w:sz w:val="19"/>
          <w:szCs w:val="19"/>
          <w:lang w:val="el-GR"/>
        </w:rPr>
        <w:t xml:space="preserve"> </w:t>
      </w:r>
      <w:r w:rsidR="005108B6">
        <w:fldChar w:fldCharType="begin"/>
      </w:r>
      <w:r w:rsidR="005108B6">
        <w:instrText>HYPERLINK</w:instrText>
      </w:r>
      <w:r w:rsidR="005108B6" w:rsidRPr="000655AA">
        <w:rPr>
          <w:lang w:val="el-GR"/>
        </w:rPr>
        <w:instrText xml:space="preserve"> "</w:instrText>
      </w:r>
      <w:r w:rsidR="005108B6">
        <w:instrText>https</w:instrText>
      </w:r>
      <w:r w:rsidR="005108B6" w:rsidRPr="000655AA">
        <w:rPr>
          <w:lang w:val="el-GR"/>
        </w:rPr>
        <w:instrText>://</w:instrText>
      </w:r>
      <w:r w:rsidR="005108B6">
        <w:instrText>www</w:instrText>
      </w:r>
      <w:r w:rsidR="005108B6" w:rsidRPr="000655AA">
        <w:rPr>
          <w:lang w:val="el-GR"/>
        </w:rPr>
        <w:instrText>.</w:instrText>
      </w:r>
      <w:r w:rsidR="005108B6">
        <w:instrText>esamea</w:instrText>
      </w:r>
      <w:r w:rsidR="005108B6" w:rsidRPr="000655AA">
        <w:rPr>
          <w:lang w:val="el-GR"/>
        </w:rPr>
        <w:instrText>.</w:instrText>
      </w:r>
      <w:r w:rsidR="005108B6">
        <w:instrText>gr</w:instrText>
      </w:r>
      <w:r w:rsidR="005108B6" w:rsidRPr="000655AA">
        <w:rPr>
          <w:lang w:val="el-GR"/>
        </w:rPr>
        <w:instrText>/</w:instrText>
      </w:r>
      <w:r w:rsidR="005108B6">
        <w:instrText>el</w:instrText>
      </w:r>
      <w:r w:rsidR="005108B6" w:rsidRPr="000655AA">
        <w:rPr>
          <w:lang w:val="el-GR"/>
        </w:rPr>
        <w:instrText>/</w:instrText>
      </w:r>
      <w:r w:rsidR="005108B6">
        <w:instrText>article</w:instrText>
      </w:r>
      <w:r w:rsidR="005108B6" w:rsidRPr="000655AA">
        <w:rPr>
          <w:lang w:val="el-GR"/>
        </w:rPr>
        <w:instrText>/</w:instrText>
      </w:r>
      <w:r w:rsidR="005108B6">
        <w:instrText>paroysiasthkan</w:instrText>
      </w:r>
      <w:r w:rsidR="005108B6" w:rsidRPr="000655AA">
        <w:rPr>
          <w:lang w:val="el-GR"/>
        </w:rPr>
        <w:instrText>-</w:instrText>
      </w:r>
      <w:r w:rsidR="005108B6">
        <w:instrText>ta</w:instrText>
      </w:r>
      <w:r w:rsidR="005108B6" w:rsidRPr="000655AA">
        <w:rPr>
          <w:lang w:val="el-GR"/>
        </w:rPr>
        <w:instrText>-</w:instrText>
      </w:r>
      <w:r w:rsidR="005108B6">
        <w:instrText>apotelesmata</w:instrText>
      </w:r>
      <w:r w:rsidR="005108B6" w:rsidRPr="000655AA">
        <w:rPr>
          <w:lang w:val="el-GR"/>
        </w:rPr>
        <w:instrText>-</w:instrText>
      </w:r>
      <w:r w:rsidR="005108B6">
        <w:instrText>ths</w:instrText>
      </w:r>
      <w:r w:rsidR="005108B6" w:rsidRPr="000655AA">
        <w:rPr>
          <w:lang w:val="el-GR"/>
        </w:rPr>
        <w:instrText>-</w:instrText>
      </w:r>
      <w:r w:rsidR="005108B6">
        <w:instrText>ereynas</w:instrText>
      </w:r>
      <w:r w:rsidR="005108B6" w:rsidRPr="000655AA">
        <w:rPr>
          <w:lang w:val="el-GR"/>
        </w:rPr>
        <w:instrText>-</w:instrText>
      </w:r>
      <w:r w:rsidR="005108B6">
        <w:instrText>gia</w:instrText>
      </w:r>
      <w:r w:rsidR="005108B6" w:rsidRPr="000655AA">
        <w:rPr>
          <w:lang w:val="el-GR"/>
        </w:rPr>
        <w:instrText>-</w:instrText>
      </w:r>
      <w:r w:rsidR="005108B6">
        <w:instrText>thn</w:instrText>
      </w:r>
      <w:r w:rsidR="005108B6" w:rsidRPr="000655AA">
        <w:rPr>
          <w:lang w:val="el-GR"/>
        </w:rPr>
        <w:instrText>-</w:instrText>
      </w:r>
      <w:r w:rsidR="005108B6">
        <w:instrText>prosbash</w:instrText>
      </w:r>
      <w:r w:rsidR="005108B6" w:rsidRPr="000655AA">
        <w:rPr>
          <w:lang w:val="el-GR"/>
        </w:rPr>
        <w:instrText>-</w:instrText>
      </w:r>
      <w:r w:rsidR="005108B6">
        <w:instrText>twn</w:instrText>
      </w:r>
      <w:r w:rsidR="005108B6" w:rsidRPr="000655AA">
        <w:rPr>
          <w:lang w:val="el-GR"/>
        </w:rPr>
        <w:instrText>-</w:instrText>
      </w:r>
      <w:r w:rsidR="005108B6">
        <w:instrText>atomwn</w:instrText>
      </w:r>
      <w:r w:rsidR="005108B6" w:rsidRPr="000655AA">
        <w:rPr>
          <w:lang w:val="el-GR"/>
        </w:rPr>
        <w:instrText>-</w:instrText>
      </w:r>
      <w:r w:rsidR="005108B6">
        <w:instrText>me</w:instrText>
      </w:r>
      <w:r w:rsidR="005108B6" w:rsidRPr="000655AA">
        <w:rPr>
          <w:lang w:val="el-GR"/>
        </w:rPr>
        <w:instrText>-</w:instrText>
      </w:r>
      <w:r w:rsidR="005108B6">
        <w:instrText>anaphria</w:instrText>
      </w:r>
      <w:r w:rsidR="005108B6" w:rsidRPr="000655AA">
        <w:rPr>
          <w:lang w:val="el-GR"/>
        </w:rPr>
        <w:instrText>-</w:instrText>
      </w:r>
      <w:r w:rsidR="005108B6">
        <w:instrText>xronies</w:instrText>
      </w:r>
      <w:r w:rsidR="005108B6" w:rsidRPr="000655AA">
        <w:rPr>
          <w:lang w:val="el-GR"/>
        </w:rPr>
        <w:instrText>-</w:instrText>
      </w:r>
      <w:r w:rsidR="005108B6">
        <w:instrText>spanies</w:instrText>
      </w:r>
      <w:r w:rsidR="005108B6" w:rsidRPr="000655AA">
        <w:rPr>
          <w:lang w:val="el-GR"/>
        </w:rPr>
        <w:instrText>-</w:instrText>
      </w:r>
      <w:r w:rsidR="005108B6">
        <w:instrText>pathhseis</w:instrText>
      </w:r>
      <w:r w:rsidR="005108B6" w:rsidRPr="000655AA">
        <w:rPr>
          <w:lang w:val="el-GR"/>
        </w:rPr>
        <w:instrText>-</w:instrText>
      </w:r>
      <w:r w:rsidR="005108B6">
        <w:instrText>sthn</w:instrText>
      </w:r>
      <w:r w:rsidR="005108B6" w:rsidRPr="000655AA">
        <w:rPr>
          <w:lang w:val="el-GR"/>
        </w:rPr>
        <w:instrText>-</w:instrText>
      </w:r>
      <w:r w:rsidR="005108B6">
        <w:instrText>ygeia</w:instrText>
      </w:r>
      <w:r w:rsidR="005108B6" w:rsidRPr="000655AA">
        <w:rPr>
          <w:lang w:val="el-GR"/>
        </w:rPr>
        <w:instrText>"</w:instrText>
      </w:r>
      <w:r w:rsidR="005108B6">
        <w:fldChar w:fldCharType="separate"/>
      </w:r>
      <w:r w:rsidR="005108B6" w:rsidRPr="00620A2E">
        <w:rPr>
          <w:rStyle w:val="-0"/>
          <w:sz w:val="19"/>
          <w:szCs w:val="19"/>
        </w:rPr>
        <w:t>https</w:t>
      </w:r>
      <w:r w:rsidR="005108B6" w:rsidRPr="00620A2E">
        <w:rPr>
          <w:rStyle w:val="-0"/>
          <w:sz w:val="19"/>
          <w:szCs w:val="19"/>
          <w:lang w:val="el-GR"/>
        </w:rPr>
        <w:t>://</w:t>
      </w:r>
      <w:r w:rsidR="005108B6" w:rsidRPr="00620A2E">
        <w:rPr>
          <w:rStyle w:val="-0"/>
          <w:sz w:val="19"/>
          <w:szCs w:val="19"/>
        </w:rPr>
        <w:t>www</w:t>
      </w:r>
      <w:r w:rsidR="005108B6" w:rsidRPr="00620A2E">
        <w:rPr>
          <w:rStyle w:val="-0"/>
          <w:sz w:val="19"/>
          <w:szCs w:val="19"/>
          <w:lang w:val="el-GR"/>
        </w:rPr>
        <w:t>.</w:t>
      </w:r>
      <w:r w:rsidR="005108B6" w:rsidRPr="00620A2E">
        <w:rPr>
          <w:rStyle w:val="-0"/>
          <w:sz w:val="19"/>
          <w:szCs w:val="19"/>
        </w:rPr>
        <w:t>esamea</w:t>
      </w:r>
      <w:r w:rsidR="005108B6" w:rsidRPr="00620A2E">
        <w:rPr>
          <w:rStyle w:val="-0"/>
          <w:sz w:val="19"/>
          <w:szCs w:val="19"/>
          <w:lang w:val="el-GR"/>
        </w:rPr>
        <w:t>.</w:t>
      </w:r>
      <w:r w:rsidR="005108B6" w:rsidRPr="00620A2E">
        <w:rPr>
          <w:rStyle w:val="-0"/>
          <w:sz w:val="19"/>
          <w:szCs w:val="19"/>
        </w:rPr>
        <w:t>gr</w:t>
      </w:r>
      <w:r w:rsidR="005108B6" w:rsidRPr="00620A2E">
        <w:rPr>
          <w:rStyle w:val="-0"/>
          <w:sz w:val="19"/>
          <w:szCs w:val="19"/>
          <w:lang w:val="el-GR"/>
        </w:rPr>
        <w:t>/</w:t>
      </w:r>
      <w:r w:rsidR="005108B6" w:rsidRPr="00620A2E">
        <w:rPr>
          <w:rStyle w:val="-0"/>
          <w:sz w:val="19"/>
          <w:szCs w:val="19"/>
        </w:rPr>
        <w:t>el</w:t>
      </w:r>
      <w:r w:rsidR="005108B6" w:rsidRPr="00620A2E">
        <w:rPr>
          <w:rStyle w:val="-0"/>
          <w:sz w:val="19"/>
          <w:szCs w:val="19"/>
          <w:lang w:val="el-GR"/>
        </w:rPr>
        <w:t>/</w:t>
      </w:r>
      <w:r w:rsidR="005108B6" w:rsidRPr="00620A2E">
        <w:rPr>
          <w:rStyle w:val="-0"/>
          <w:sz w:val="19"/>
          <w:szCs w:val="19"/>
        </w:rPr>
        <w:t>article</w:t>
      </w:r>
      <w:r w:rsidR="005108B6" w:rsidRPr="00620A2E">
        <w:rPr>
          <w:rStyle w:val="-0"/>
          <w:sz w:val="19"/>
          <w:szCs w:val="19"/>
          <w:lang w:val="el-GR"/>
        </w:rPr>
        <w:t>/</w:t>
      </w:r>
      <w:r w:rsidR="005108B6" w:rsidRPr="00620A2E">
        <w:rPr>
          <w:rStyle w:val="-0"/>
          <w:sz w:val="19"/>
          <w:szCs w:val="19"/>
        </w:rPr>
        <w:t>paroysiasthkan</w:t>
      </w:r>
      <w:r w:rsidR="005108B6" w:rsidRPr="00620A2E">
        <w:rPr>
          <w:rStyle w:val="-0"/>
          <w:sz w:val="19"/>
          <w:szCs w:val="19"/>
          <w:lang w:val="el-GR"/>
        </w:rPr>
        <w:t>-</w:t>
      </w:r>
      <w:r w:rsidR="005108B6" w:rsidRPr="00620A2E">
        <w:rPr>
          <w:rStyle w:val="-0"/>
          <w:sz w:val="19"/>
          <w:szCs w:val="19"/>
        </w:rPr>
        <w:t>ta</w:t>
      </w:r>
      <w:r w:rsidR="005108B6" w:rsidRPr="00620A2E">
        <w:rPr>
          <w:rStyle w:val="-0"/>
          <w:sz w:val="19"/>
          <w:szCs w:val="19"/>
          <w:lang w:val="el-GR"/>
        </w:rPr>
        <w:t>-</w:t>
      </w:r>
      <w:r w:rsidR="005108B6" w:rsidRPr="00620A2E">
        <w:rPr>
          <w:rStyle w:val="-0"/>
          <w:sz w:val="19"/>
          <w:szCs w:val="19"/>
        </w:rPr>
        <w:t>apotelesmata</w:t>
      </w:r>
      <w:r w:rsidR="005108B6" w:rsidRPr="00620A2E">
        <w:rPr>
          <w:rStyle w:val="-0"/>
          <w:sz w:val="19"/>
          <w:szCs w:val="19"/>
          <w:lang w:val="el-GR"/>
        </w:rPr>
        <w:t>-</w:t>
      </w:r>
      <w:r w:rsidR="005108B6" w:rsidRPr="00620A2E">
        <w:rPr>
          <w:rStyle w:val="-0"/>
          <w:sz w:val="19"/>
          <w:szCs w:val="19"/>
        </w:rPr>
        <w:t>ths</w:t>
      </w:r>
      <w:r w:rsidR="005108B6" w:rsidRPr="00620A2E">
        <w:rPr>
          <w:rStyle w:val="-0"/>
          <w:sz w:val="19"/>
          <w:szCs w:val="19"/>
          <w:lang w:val="el-GR"/>
        </w:rPr>
        <w:t>-</w:t>
      </w:r>
      <w:r w:rsidR="005108B6" w:rsidRPr="00620A2E">
        <w:rPr>
          <w:rStyle w:val="-0"/>
          <w:sz w:val="19"/>
          <w:szCs w:val="19"/>
        </w:rPr>
        <w:t>ereynas</w:t>
      </w:r>
      <w:r w:rsidR="005108B6" w:rsidRPr="00620A2E">
        <w:rPr>
          <w:rStyle w:val="-0"/>
          <w:sz w:val="19"/>
          <w:szCs w:val="19"/>
          <w:lang w:val="el-GR"/>
        </w:rPr>
        <w:t>-</w:t>
      </w:r>
      <w:r w:rsidR="005108B6" w:rsidRPr="00620A2E">
        <w:rPr>
          <w:rStyle w:val="-0"/>
          <w:sz w:val="19"/>
          <w:szCs w:val="19"/>
        </w:rPr>
        <w:t>gia</w:t>
      </w:r>
      <w:r w:rsidR="005108B6" w:rsidRPr="00620A2E">
        <w:rPr>
          <w:rStyle w:val="-0"/>
          <w:sz w:val="19"/>
          <w:szCs w:val="19"/>
          <w:lang w:val="el-GR"/>
        </w:rPr>
        <w:t>-</w:t>
      </w:r>
      <w:r w:rsidR="005108B6" w:rsidRPr="00620A2E">
        <w:rPr>
          <w:rStyle w:val="-0"/>
          <w:sz w:val="19"/>
          <w:szCs w:val="19"/>
        </w:rPr>
        <w:t>thn</w:t>
      </w:r>
      <w:r w:rsidR="005108B6" w:rsidRPr="00620A2E">
        <w:rPr>
          <w:rStyle w:val="-0"/>
          <w:sz w:val="19"/>
          <w:szCs w:val="19"/>
          <w:lang w:val="el-GR"/>
        </w:rPr>
        <w:t>-</w:t>
      </w:r>
      <w:r w:rsidR="005108B6" w:rsidRPr="00620A2E">
        <w:rPr>
          <w:rStyle w:val="-0"/>
          <w:sz w:val="19"/>
          <w:szCs w:val="19"/>
        </w:rPr>
        <w:t>prosbash</w:t>
      </w:r>
      <w:r w:rsidR="005108B6" w:rsidRPr="00620A2E">
        <w:rPr>
          <w:rStyle w:val="-0"/>
          <w:sz w:val="19"/>
          <w:szCs w:val="19"/>
          <w:lang w:val="el-GR"/>
        </w:rPr>
        <w:t>-</w:t>
      </w:r>
      <w:r w:rsidR="005108B6" w:rsidRPr="00620A2E">
        <w:rPr>
          <w:rStyle w:val="-0"/>
          <w:sz w:val="19"/>
          <w:szCs w:val="19"/>
        </w:rPr>
        <w:t>twn</w:t>
      </w:r>
      <w:r w:rsidR="005108B6" w:rsidRPr="00620A2E">
        <w:rPr>
          <w:rStyle w:val="-0"/>
          <w:sz w:val="19"/>
          <w:szCs w:val="19"/>
          <w:lang w:val="el-GR"/>
        </w:rPr>
        <w:t>-</w:t>
      </w:r>
      <w:r w:rsidR="005108B6" w:rsidRPr="00620A2E">
        <w:rPr>
          <w:rStyle w:val="-0"/>
          <w:sz w:val="19"/>
          <w:szCs w:val="19"/>
        </w:rPr>
        <w:t>atomwn</w:t>
      </w:r>
      <w:r w:rsidR="005108B6" w:rsidRPr="00620A2E">
        <w:rPr>
          <w:rStyle w:val="-0"/>
          <w:sz w:val="19"/>
          <w:szCs w:val="19"/>
          <w:lang w:val="el-GR"/>
        </w:rPr>
        <w:t>-</w:t>
      </w:r>
      <w:r w:rsidR="005108B6" w:rsidRPr="00620A2E">
        <w:rPr>
          <w:rStyle w:val="-0"/>
          <w:sz w:val="19"/>
          <w:szCs w:val="19"/>
        </w:rPr>
        <w:t>me</w:t>
      </w:r>
      <w:r w:rsidR="005108B6" w:rsidRPr="00620A2E">
        <w:rPr>
          <w:rStyle w:val="-0"/>
          <w:sz w:val="19"/>
          <w:szCs w:val="19"/>
          <w:lang w:val="el-GR"/>
        </w:rPr>
        <w:t>-</w:t>
      </w:r>
      <w:r w:rsidR="005108B6" w:rsidRPr="00620A2E">
        <w:rPr>
          <w:rStyle w:val="-0"/>
          <w:sz w:val="19"/>
          <w:szCs w:val="19"/>
        </w:rPr>
        <w:t>anaphria</w:t>
      </w:r>
      <w:r w:rsidR="005108B6" w:rsidRPr="00620A2E">
        <w:rPr>
          <w:rStyle w:val="-0"/>
          <w:sz w:val="19"/>
          <w:szCs w:val="19"/>
          <w:lang w:val="el-GR"/>
        </w:rPr>
        <w:t>-</w:t>
      </w:r>
      <w:r w:rsidR="005108B6" w:rsidRPr="00620A2E">
        <w:rPr>
          <w:rStyle w:val="-0"/>
          <w:sz w:val="19"/>
          <w:szCs w:val="19"/>
        </w:rPr>
        <w:t>xronies</w:t>
      </w:r>
      <w:r w:rsidR="005108B6" w:rsidRPr="00620A2E">
        <w:rPr>
          <w:rStyle w:val="-0"/>
          <w:sz w:val="19"/>
          <w:szCs w:val="19"/>
          <w:lang w:val="el-GR"/>
        </w:rPr>
        <w:t>-</w:t>
      </w:r>
      <w:r w:rsidR="005108B6" w:rsidRPr="00620A2E">
        <w:rPr>
          <w:rStyle w:val="-0"/>
          <w:sz w:val="19"/>
          <w:szCs w:val="19"/>
        </w:rPr>
        <w:t>spanies</w:t>
      </w:r>
      <w:r w:rsidR="005108B6" w:rsidRPr="00620A2E">
        <w:rPr>
          <w:rStyle w:val="-0"/>
          <w:sz w:val="19"/>
          <w:szCs w:val="19"/>
          <w:lang w:val="el-GR"/>
        </w:rPr>
        <w:t>-</w:t>
      </w:r>
      <w:r w:rsidR="005108B6" w:rsidRPr="00620A2E">
        <w:rPr>
          <w:rStyle w:val="-0"/>
          <w:sz w:val="19"/>
          <w:szCs w:val="19"/>
        </w:rPr>
        <w:t>pathhseis</w:t>
      </w:r>
      <w:r w:rsidR="005108B6" w:rsidRPr="00620A2E">
        <w:rPr>
          <w:rStyle w:val="-0"/>
          <w:sz w:val="19"/>
          <w:szCs w:val="19"/>
          <w:lang w:val="el-GR"/>
        </w:rPr>
        <w:t>-</w:t>
      </w:r>
      <w:r w:rsidR="005108B6" w:rsidRPr="00620A2E">
        <w:rPr>
          <w:rStyle w:val="-0"/>
          <w:sz w:val="19"/>
          <w:szCs w:val="19"/>
        </w:rPr>
        <w:t>sthn</w:t>
      </w:r>
      <w:r w:rsidR="005108B6" w:rsidRPr="00620A2E">
        <w:rPr>
          <w:rStyle w:val="-0"/>
          <w:sz w:val="19"/>
          <w:szCs w:val="19"/>
          <w:lang w:val="el-GR"/>
        </w:rPr>
        <w:t>-</w:t>
      </w:r>
      <w:r w:rsidR="005108B6" w:rsidRPr="00620A2E">
        <w:rPr>
          <w:rStyle w:val="-0"/>
          <w:sz w:val="19"/>
          <w:szCs w:val="19"/>
        </w:rPr>
        <w:t>ygeia</w:t>
      </w:r>
      <w:r w:rsidR="005108B6">
        <w:fldChar w:fldCharType="end"/>
      </w:r>
    </w:p>
  </w:footnote>
  <w:footnote w:id="10">
    <w:p w14:paraId="78DEFCEE" w14:textId="77777777" w:rsidR="003677F5" w:rsidRPr="007F7EFE" w:rsidRDefault="003677F5" w:rsidP="007F7EFE">
      <w:pPr>
        <w:pStyle w:val="aa"/>
        <w:spacing w:after="100"/>
        <w:ind w:left="142" w:hanging="142"/>
        <w:rPr>
          <w:sz w:val="19"/>
          <w:szCs w:val="19"/>
          <w:lang w:val="el-GR"/>
        </w:rPr>
      </w:pPr>
      <w:r w:rsidRPr="007F7EFE">
        <w:rPr>
          <w:rStyle w:val="a9"/>
          <w:sz w:val="19"/>
          <w:szCs w:val="19"/>
        </w:rPr>
        <w:footnoteRef/>
      </w:r>
      <w:r w:rsidRPr="007F7EFE">
        <w:rPr>
          <w:rFonts w:asciiTheme="majorHAnsi" w:hAnsiTheme="majorHAnsi" w:cstheme="majorHAnsi"/>
          <w:b/>
          <w:bCs/>
          <w:i/>
          <w:iCs/>
          <w:sz w:val="19"/>
          <w:szCs w:val="19"/>
          <w:lang w:val="el-GR"/>
        </w:rPr>
        <w:tab/>
      </w:r>
      <w:r>
        <w:fldChar w:fldCharType="begin"/>
      </w:r>
      <w:r>
        <w:instrText>HYPERLINK</w:instrText>
      </w:r>
      <w:r w:rsidRPr="000655AA">
        <w:rPr>
          <w:lang w:val="el-GR"/>
        </w:rPr>
        <w:instrText xml:space="preserve"> "</w:instrText>
      </w:r>
      <w:r>
        <w:instrText>https</w:instrText>
      </w:r>
      <w:r w:rsidRPr="000655AA">
        <w:rPr>
          <w:lang w:val="el-GR"/>
        </w:rPr>
        <w:instrText>://</w:instrText>
      </w:r>
      <w:r>
        <w:instrText>ec</w:instrText>
      </w:r>
      <w:r w:rsidRPr="000655AA">
        <w:rPr>
          <w:lang w:val="el-GR"/>
        </w:rPr>
        <w:instrText>.</w:instrText>
      </w:r>
      <w:r>
        <w:instrText>europa</w:instrText>
      </w:r>
      <w:r w:rsidRPr="000655AA">
        <w:rPr>
          <w:lang w:val="el-GR"/>
        </w:rPr>
        <w:instrText>.</w:instrText>
      </w:r>
      <w:r>
        <w:instrText>eu</w:instrText>
      </w:r>
      <w:r w:rsidRPr="000655AA">
        <w:rPr>
          <w:lang w:val="el-GR"/>
        </w:rPr>
        <w:instrText>/</w:instrText>
      </w:r>
      <w:r>
        <w:instrText>eurostat</w:instrText>
      </w:r>
      <w:r w:rsidRPr="000655AA">
        <w:rPr>
          <w:lang w:val="el-GR"/>
        </w:rPr>
        <w:instrText>/</w:instrText>
      </w:r>
      <w:r>
        <w:instrText>databrowser</w:instrText>
      </w:r>
      <w:r w:rsidRPr="000655AA">
        <w:rPr>
          <w:lang w:val="el-GR"/>
        </w:rPr>
        <w:instrText>/</w:instrText>
      </w:r>
      <w:r>
        <w:instrText>view</w:instrText>
      </w:r>
      <w:r w:rsidRPr="000655AA">
        <w:rPr>
          <w:lang w:val="el-GR"/>
        </w:rPr>
        <w:instrText>/</w:instrText>
      </w:r>
      <w:r>
        <w:instrText>HLTH</w:instrText>
      </w:r>
      <w:r w:rsidRPr="000655AA">
        <w:rPr>
          <w:lang w:val="el-GR"/>
        </w:rPr>
        <w:instrText>_</w:instrText>
      </w:r>
      <w:r>
        <w:instrText>DPE</w:instrText>
      </w:r>
      <w:r w:rsidRPr="000655AA">
        <w:rPr>
          <w:lang w:val="el-GR"/>
        </w:rPr>
        <w:instrText>040__</w:instrText>
      </w:r>
      <w:r>
        <w:instrText>custom</w:instrText>
      </w:r>
      <w:r w:rsidRPr="000655AA">
        <w:rPr>
          <w:lang w:val="el-GR"/>
        </w:rPr>
        <w:instrText>_6196721/</w:instrText>
      </w:r>
      <w:r>
        <w:instrText>default</w:instrText>
      </w:r>
      <w:r w:rsidRPr="000655AA">
        <w:rPr>
          <w:lang w:val="el-GR"/>
        </w:rPr>
        <w:instrText>/</w:instrText>
      </w:r>
      <w:r>
        <w:instrText>table</w:instrText>
      </w:r>
      <w:r w:rsidRPr="000655AA">
        <w:rPr>
          <w:lang w:val="el-GR"/>
        </w:rPr>
        <w:instrText>?</w:instrText>
      </w:r>
      <w:r>
        <w:instrText>lang</w:instrText>
      </w:r>
      <w:r w:rsidRPr="000655AA">
        <w:rPr>
          <w:lang w:val="el-GR"/>
        </w:rPr>
        <w:instrText>=</w:instrText>
      </w:r>
      <w:r>
        <w:instrText>en</w:instrText>
      </w:r>
      <w:r w:rsidRPr="000655AA">
        <w:rPr>
          <w:lang w:val="el-GR"/>
        </w:rPr>
        <w:instrText>"</w:instrText>
      </w:r>
      <w:r>
        <w:fldChar w:fldCharType="separate"/>
      </w:r>
      <w:r w:rsidRPr="007F7EFE">
        <w:rPr>
          <w:rStyle w:val="-0"/>
          <w:sz w:val="19"/>
          <w:szCs w:val="19"/>
          <w:lang w:val="el-GR"/>
        </w:rPr>
        <w:t>https://ec.europa.eu/eurostat/databrowser/view/HLTH_DPE040__custom_6196721/default/table?lang=en</w:t>
      </w:r>
      <w:r>
        <w:fldChar w:fldCharType="end"/>
      </w:r>
      <w:r w:rsidRPr="007F7EFE">
        <w:rPr>
          <w:sz w:val="19"/>
          <w:szCs w:val="19"/>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FF95" w14:textId="5A52BF10" w:rsidR="00375C70" w:rsidRPr="00375C70" w:rsidRDefault="00000000" w:rsidP="00375C70">
    <w:pPr>
      <w:spacing w:after="0"/>
      <w:jc w:val="both"/>
      <w:rPr>
        <w:color w:val="7F7F7F" w:themeColor="text1" w:themeTint="80"/>
        <w:sz w:val="28"/>
        <w:szCs w:val="28"/>
        <w:lang w:val="el-GR"/>
      </w:rPr>
    </w:pPr>
    <w:r>
      <w:rPr>
        <w:noProof/>
        <w:lang w:val="el-GR" w:eastAsia="el-GR"/>
      </w:rPr>
      <w:drawing>
        <wp:inline distT="0" distB="0" distL="0" distR="0" wp14:anchorId="4C76021F" wp14:editId="663C2B63">
          <wp:extent cx="5490210" cy="946785"/>
          <wp:effectExtent l="0" t="0" r="0" b="0"/>
          <wp:docPr id="1467404134" name="Εικόνα 2055662874"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8510" name="Εικόνα 2033798510"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5490210" cy="947097"/>
                  </a:xfrm>
                  <a:prstGeom prst="rect">
                    <a:avLst/>
                  </a:prstGeom>
                  <a:ln>
                    <a:noFill/>
                  </a:ln>
                </pic:spPr>
              </pic:pic>
            </a:graphicData>
          </a:graphic>
        </wp:inline>
      </w:drawing>
    </w:r>
  </w:p>
  <w:p w14:paraId="67E0D97A" w14:textId="5AF78623" w:rsidR="007D51AE" w:rsidRPr="00375C70" w:rsidRDefault="00375C70" w:rsidP="00375C70">
    <w:pPr>
      <w:pStyle w:val="ab"/>
      <w:jc w:val="right"/>
      <w:rPr>
        <w:color w:val="2F5496" w:themeColor="accent1" w:themeShade="BF"/>
        <w:sz w:val="24"/>
        <w:szCs w:val="24"/>
        <w:lang w:val="el-GR"/>
      </w:rPr>
    </w:pPr>
    <w:r w:rsidRPr="00375C70">
      <w:rPr>
        <w:color w:val="006699"/>
        <w:sz w:val="24"/>
        <w:szCs w:val="24"/>
        <w:lang w:val="el-GR"/>
      </w:rPr>
      <w:t>[2024</w:t>
    </w:r>
    <w:r w:rsidR="007F7EFE">
      <w:rPr>
        <w:color w:val="006699"/>
        <w:sz w:val="24"/>
        <w:szCs w:val="24"/>
        <w:lang w:val="el-GR"/>
      </w:rPr>
      <w:t xml:space="preserve"> </w:t>
    </w:r>
    <w:r w:rsidR="007F7EFE">
      <w:rPr>
        <w:color w:val="006699"/>
        <w:sz w:val="24"/>
        <w:szCs w:val="24"/>
        <w:lang w:val="el-GR"/>
      </w:rPr>
      <w:sym w:font="Wingdings" w:char="F09F"/>
    </w:r>
    <w:r w:rsidR="007F7EFE">
      <w:rPr>
        <w:color w:val="006699"/>
        <w:sz w:val="24"/>
        <w:szCs w:val="24"/>
        <w:lang w:val="el-GR"/>
      </w:rPr>
      <w:t xml:space="preserve"> </w:t>
    </w:r>
    <w:r w:rsidR="00843977">
      <w:rPr>
        <w:color w:val="006699"/>
        <w:sz w:val="24"/>
        <w:szCs w:val="24"/>
        <w:lang w:val="el-GR"/>
      </w:rPr>
      <w:t>3</w:t>
    </w:r>
    <w:r w:rsidRPr="00375C70">
      <w:rPr>
        <w:color w:val="006699"/>
        <w:sz w:val="24"/>
        <w:szCs w:val="24"/>
        <w:vertAlign w:val="superscript"/>
        <w:lang w:val="el-GR"/>
      </w:rPr>
      <w:t>ο</w:t>
    </w:r>
    <w:r w:rsidRPr="00375C70">
      <w:rPr>
        <w:color w:val="006699"/>
        <w:sz w:val="24"/>
        <w:szCs w:val="24"/>
        <w:lang w:val="el-GR"/>
      </w:rPr>
      <w:t xml:space="preserve"> Δελτίο]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8637" w14:textId="77777777" w:rsidR="007D51AE" w:rsidRDefault="00000000">
    <w:pPr>
      <w:pStyle w:val="ab"/>
      <w:spacing w:before="360"/>
      <w:ind w:left="-1701" w:right="-1298"/>
      <w:jc w:val="center"/>
    </w:pPr>
    <w:r>
      <w:rPr>
        <w:noProof/>
        <w:lang w:val="el-GR" w:eastAsia="el-GR"/>
      </w:rPr>
      <w:drawing>
        <wp:inline distT="0" distB="0" distL="0" distR="0" wp14:anchorId="659E1632" wp14:editId="7CC65F84">
          <wp:extent cx="6644640" cy="906780"/>
          <wp:effectExtent l="0" t="0" r="3810" b="0"/>
          <wp:docPr id="426830557" name="Εικόνα 33010330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22889" name="Εικόνα 1348622889"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6647616" cy="907186"/>
                  </a:xfrm>
                  <a:prstGeom prst="rect">
                    <a:avLst/>
                  </a:prstGeom>
                  <a:ln>
                    <a:noFill/>
                  </a:ln>
                </pic:spPr>
              </pic:pic>
            </a:graphicData>
          </a:graphic>
        </wp:inline>
      </w:drawing>
    </w:r>
    <w:r>
      <w:rPr>
        <w:noProof/>
        <w:lang w:val="el-GR" w:eastAsia="el-GR"/>
      </w:rPr>
      <w:drawing>
        <wp:inline distT="0" distB="0" distL="0" distR="0" wp14:anchorId="614B459C" wp14:editId="1FBA58DA">
          <wp:extent cx="6187440" cy="876300"/>
          <wp:effectExtent l="0" t="0" r="3810" b="0"/>
          <wp:docPr id="479565637" name="Εικόνα 2033330897"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23920" name="Εικόνα 1803123920"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2">
                    <a:extLst>
                      <a:ext uri="{28A0092B-C50C-407E-A947-70E740481C1C}">
                        <a14:useLocalDpi xmlns:a14="http://schemas.microsoft.com/office/drawing/2010/main" val="0"/>
                      </a:ext>
                    </a:extLst>
                  </a:blip>
                  <a:srcRect l="1" r="688" b="3603"/>
                  <a:stretch>
                    <a:fillRect/>
                  </a:stretch>
                </pic:blipFill>
                <pic:spPr>
                  <a:xfrm>
                    <a:off x="0" y="0"/>
                    <a:ext cx="618744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13E6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85B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67599"/>
    <w:multiLevelType w:val="multilevel"/>
    <w:tmpl w:val="0F66759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A675CB"/>
    <w:multiLevelType w:val="hybridMultilevel"/>
    <w:tmpl w:val="5D026ED4"/>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CF119B"/>
    <w:multiLevelType w:val="hybridMultilevel"/>
    <w:tmpl w:val="1C368B9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9A4FC2"/>
    <w:multiLevelType w:val="hybridMultilevel"/>
    <w:tmpl w:val="1DF6B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79B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6E3E99"/>
    <w:multiLevelType w:val="multilevel"/>
    <w:tmpl w:val="4318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F17EC"/>
    <w:multiLevelType w:val="hybridMultilevel"/>
    <w:tmpl w:val="C16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9366F"/>
    <w:multiLevelType w:val="hybridMultilevel"/>
    <w:tmpl w:val="F95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BEB"/>
    <w:multiLevelType w:val="hybridMultilevel"/>
    <w:tmpl w:val="9B8CF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5C23FE"/>
    <w:multiLevelType w:val="multilevel"/>
    <w:tmpl w:val="1F8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D0BE0"/>
    <w:multiLevelType w:val="hybridMultilevel"/>
    <w:tmpl w:val="089EF1AE"/>
    <w:lvl w:ilvl="0" w:tplc="0407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F00CA9"/>
    <w:multiLevelType w:val="multilevel"/>
    <w:tmpl w:val="52F00CA9"/>
    <w:lvl w:ilvl="0">
      <w:start w:val="1"/>
      <w:numFmt w:val="decimal"/>
      <w:pStyle w:val="10"/>
      <w:lvlText w:val="%1"/>
      <w:lvlJc w:val="left"/>
      <w:pPr>
        <w:ind w:left="432" w:hanging="432"/>
      </w:pPr>
      <w:rPr>
        <w:rFonts w:hint="default"/>
      </w:rPr>
    </w:lvl>
    <w:lvl w:ilvl="1">
      <w:start w:val="1"/>
      <w:numFmt w:val="decimal"/>
      <w:pStyle w:val="2"/>
      <w:lvlText w:val="%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578C62F5"/>
    <w:multiLevelType w:val="multilevel"/>
    <w:tmpl w:val="391E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B7C8F"/>
    <w:multiLevelType w:val="hybridMultilevel"/>
    <w:tmpl w:val="B2086D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F272BFB"/>
    <w:multiLevelType w:val="hybridMultilevel"/>
    <w:tmpl w:val="CB9CBC1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DB7A82"/>
    <w:multiLevelType w:val="hybridMultilevel"/>
    <w:tmpl w:val="1CE4A552"/>
    <w:lvl w:ilvl="0" w:tplc="68FE37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3C48D2"/>
    <w:multiLevelType w:val="multilevel"/>
    <w:tmpl w:val="C792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85CBB"/>
    <w:multiLevelType w:val="hybridMultilevel"/>
    <w:tmpl w:val="70C6F02A"/>
    <w:lvl w:ilvl="0" w:tplc="68FE37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C22AD3"/>
    <w:multiLevelType w:val="multilevel"/>
    <w:tmpl w:val="7EC22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8534517">
    <w:abstractNumId w:val="14"/>
  </w:num>
  <w:num w:numId="2" w16cid:durableId="944075374">
    <w:abstractNumId w:val="21"/>
  </w:num>
  <w:num w:numId="3" w16cid:durableId="1907298787">
    <w:abstractNumId w:val="2"/>
  </w:num>
  <w:num w:numId="4" w16cid:durableId="2067676675">
    <w:abstractNumId w:val="9"/>
  </w:num>
  <w:num w:numId="5" w16cid:durableId="1916043130">
    <w:abstractNumId w:val="8"/>
  </w:num>
  <w:num w:numId="6" w16cid:durableId="273951426">
    <w:abstractNumId w:val="1"/>
  </w:num>
  <w:num w:numId="7" w16cid:durableId="120345576">
    <w:abstractNumId w:val="4"/>
  </w:num>
  <w:num w:numId="8" w16cid:durableId="1495073737">
    <w:abstractNumId w:val="0"/>
  </w:num>
  <w:num w:numId="9" w16cid:durableId="36247744">
    <w:abstractNumId w:val="3"/>
  </w:num>
  <w:num w:numId="10" w16cid:durableId="589239434">
    <w:abstractNumId w:val="14"/>
  </w:num>
  <w:num w:numId="11" w16cid:durableId="1756585944">
    <w:abstractNumId w:val="10"/>
  </w:num>
  <w:num w:numId="12" w16cid:durableId="980619968">
    <w:abstractNumId w:val="20"/>
  </w:num>
  <w:num w:numId="13" w16cid:durableId="1795177177">
    <w:abstractNumId w:val="18"/>
  </w:num>
  <w:num w:numId="14" w16cid:durableId="1173228811">
    <w:abstractNumId w:val="6"/>
  </w:num>
  <w:num w:numId="15" w16cid:durableId="1969621067">
    <w:abstractNumId w:val="16"/>
  </w:num>
  <w:num w:numId="16" w16cid:durableId="816990599">
    <w:abstractNumId w:val="14"/>
  </w:num>
  <w:num w:numId="17" w16cid:durableId="789132934">
    <w:abstractNumId w:val="17"/>
  </w:num>
  <w:num w:numId="18" w16cid:durableId="508107810">
    <w:abstractNumId w:val="14"/>
  </w:num>
  <w:num w:numId="19" w16cid:durableId="1824542952">
    <w:abstractNumId w:val="5"/>
  </w:num>
  <w:num w:numId="20" w16cid:durableId="504902417">
    <w:abstractNumId w:val="13"/>
  </w:num>
  <w:num w:numId="21" w16cid:durableId="944846033">
    <w:abstractNumId w:val="12"/>
  </w:num>
  <w:num w:numId="22" w16cid:durableId="24982637">
    <w:abstractNumId w:val="19"/>
  </w:num>
  <w:num w:numId="23" w16cid:durableId="2143620485">
    <w:abstractNumId w:val="7"/>
  </w:num>
  <w:num w:numId="24" w16cid:durableId="110125935">
    <w:abstractNumId w:val="15"/>
  </w:num>
  <w:num w:numId="25" w16cid:durableId="1530755050">
    <w:abstractNumId w:val="11"/>
  </w:num>
  <w:num w:numId="26" w16cid:durableId="1672559459">
    <w:abstractNumId w:val="14"/>
  </w:num>
  <w:num w:numId="27" w16cid:durableId="1006442964">
    <w:abstractNumId w:val="14"/>
  </w:num>
  <w:num w:numId="28" w16cid:durableId="17015898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B2"/>
    <w:rsid w:val="00000401"/>
    <w:rsid w:val="00000F04"/>
    <w:rsid w:val="00001B0E"/>
    <w:rsid w:val="00001C48"/>
    <w:rsid w:val="0000287E"/>
    <w:rsid w:val="00004A64"/>
    <w:rsid w:val="00004F59"/>
    <w:rsid w:val="00006238"/>
    <w:rsid w:val="00010D6F"/>
    <w:rsid w:val="0001136E"/>
    <w:rsid w:val="00011632"/>
    <w:rsid w:val="00013C12"/>
    <w:rsid w:val="000141B9"/>
    <w:rsid w:val="0001569F"/>
    <w:rsid w:val="00016989"/>
    <w:rsid w:val="00016D4A"/>
    <w:rsid w:val="0002091C"/>
    <w:rsid w:val="00020C87"/>
    <w:rsid w:val="00022E12"/>
    <w:rsid w:val="000235A7"/>
    <w:rsid w:val="00023EA3"/>
    <w:rsid w:val="000251A7"/>
    <w:rsid w:val="00025A72"/>
    <w:rsid w:val="00026292"/>
    <w:rsid w:val="00026DEE"/>
    <w:rsid w:val="0002706F"/>
    <w:rsid w:val="00027340"/>
    <w:rsid w:val="00027487"/>
    <w:rsid w:val="000277EF"/>
    <w:rsid w:val="00027AA3"/>
    <w:rsid w:val="00030659"/>
    <w:rsid w:val="00030AC1"/>
    <w:rsid w:val="00030B4F"/>
    <w:rsid w:val="00030B66"/>
    <w:rsid w:val="0003219C"/>
    <w:rsid w:val="000326C8"/>
    <w:rsid w:val="00032998"/>
    <w:rsid w:val="000329A2"/>
    <w:rsid w:val="00033E31"/>
    <w:rsid w:val="0003410A"/>
    <w:rsid w:val="00034FCC"/>
    <w:rsid w:val="000350F5"/>
    <w:rsid w:val="00035153"/>
    <w:rsid w:val="00036148"/>
    <w:rsid w:val="00036267"/>
    <w:rsid w:val="000364EB"/>
    <w:rsid w:val="00036AFB"/>
    <w:rsid w:val="00036E31"/>
    <w:rsid w:val="0003746F"/>
    <w:rsid w:val="000401D1"/>
    <w:rsid w:val="00040C1E"/>
    <w:rsid w:val="00040CA9"/>
    <w:rsid w:val="000431CF"/>
    <w:rsid w:val="00044D92"/>
    <w:rsid w:val="00045C42"/>
    <w:rsid w:val="00046688"/>
    <w:rsid w:val="00047068"/>
    <w:rsid w:val="000476D6"/>
    <w:rsid w:val="0004785C"/>
    <w:rsid w:val="00050137"/>
    <w:rsid w:val="000514F1"/>
    <w:rsid w:val="00051811"/>
    <w:rsid w:val="00053EC9"/>
    <w:rsid w:val="00053EFC"/>
    <w:rsid w:val="0005407D"/>
    <w:rsid w:val="00054C66"/>
    <w:rsid w:val="000568F8"/>
    <w:rsid w:val="00056984"/>
    <w:rsid w:val="00057501"/>
    <w:rsid w:val="00057539"/>
    <w:rsid w:val="00057811"/>
    <w:rsid w:val="0005793A"/>
    <w:rsid w:val="00060355"/>
    <w:rsid w:val="000603B1"/>
    <w:rsid w:val="0006162C"/>
    <w:rsid w:val="00062552"/>
    <w:rsid w:val="00063077"/>
    <w:rsid w:val="00064787"/>
    <w:rsid w:val="00064A90"/>
    <w:rsid w:val="00064AB8"/>
    <w:rsid w:val="00064AC8"/>
    <w:rsid w:val="00064DB2"/>
    <w:rsid w:val="000655AA"/>
    <w:rsid w:val="000659CC"/>
    <w:rsid w:val="000664D0"/>
    <w:rsid w:val="00066546"/>
    <w:rsid w:val="000674F2"/>
    <w:rsid w:val="00067CD5"/>
    <w:rsid w:val="0007097C"/>
    <w:rsid w:val="00071E02"/>
    <w:rsid w:val="000722E3"/>
    <w:rsid w:val="000723D3"/>
    <w:rsid w:val="00073C36"/>
    <w:rsid w:val="00074BA8"/>
    <w:rsid w:val="00074F40"/>
    <w:rsid w:val="000767A8"/>
    <w:rsid w:val="00076819"/>
    <w:rsid w:val="000769FF"/>
    <w:rsid w:val="00080E7B"/>
    <w:rsid w:val="000817A1"/>
    <w:rsid w:val="00081EB3"/>
    <w:rsid w:val="000825F5"/>
    <w:rsid w:val="00082630"/>
    <w:rsid w:val="00083EBB"/>
    <w:rsid w:val="00083F90"/>
    <w:rsid w:val="00085342"/>
    <w:rsid w:val="00086033"/>
    <w:rsid w:val="0008750C"/>
    <w:rsid w:val="00091429"/>
    <w:rsid w:val="000928C5"/>
    <w:rsid w:val="00093E9D"/>
    <w:rsid w:val="00095D5C"/>
    <w:rsid w:val="00095F0B"/>
    <w:rsid w:val="00097592"/>
    <w:rsid w:val="000A3589"/>
    <w:rsid w:val="000A4359"/>
    <w:rsid w:val="000A47F8"/>
    <w:rsid w:val="000A67ED"/>
    <w:rsid w:val="000A7205"/>
    <w:rsid w:val="000A7708"/>
    <w:rsid w:val="000B0FDE"/>
    <w:rsid w:val="000B1003"/>
    <w:rsid w:val="000B3814"/>
    <w:rsid w:val="000B3D31"/>
    <w:rsid w:val="000B4015"/>
    <w:rsid w:val="000B4243"/>
    <w:rsid w:val="000B4DF3"/>
    <w:rsid w:val="000B6006"/>
    <w:rsid w:val="000B6438"/>
    <w:rsid w:val="000B790C"/>
    <w:rsid w:val="000B7F76"/>
    <w:rsid w:val="000C037E"/>
    <w:rsid w:val="000C2646"/>
    <w:rsid w:val="000C28D2"/>
    <w:rsid w:val="000C318A"/>
    <w:rsid w:val="000C33EE"/>
    <w:rsid w:val="000C4095"/>
    <w:rsid w:val="000C40F9"/>
    <w:rsid w:val="000C54CC"/>
    <w:rsid w:val="000C6F93"/>
    <w:rsid w:val="000C75E0"/>
    <w:rsid w:val="000C7AC1"/>
    <w:rsid w:val="000C7D79"/>
    <w:rsid w:val="000D1AD9"/>
    <w:rsid w:val="000D2E29"/>
    <w:rsid w:val="000D2E36"/>
    <w:rsid w:val="000D3BE7"/>
    <w:rsid w:val="000D4C81"/>
    <w:rsid w:val="000D70C9"/>
    <w:rsid w:val="000E0E48"/>
    <w:rsid w:val="000E1B25"/>
    <w:rsid w:val="000E21F4"/>
    <w:rsid w:val="000E22CF"/>
    <w:rsid w:val="000E2EFC"/>
    <w:rsid w:val="000E494A"/>
    <w:rsid w:val="000E4ABF"/>
    <w:rsid w:val="000E4CB0"/>
    <w:rsid w:val="000E51F1"/>
    <w:rsid w:val="000E56E0"/>
    <w:rsid w:val="000E5ABB"/>
    <w:rsid w:val="000E6AC3"/>
    <w:rsid w:val="000E6AD4"/>
    <w:rsid w:val="000E7D00"/>
    <w:rsid w:val="000F057C"/>
    <w:rsid w:val="000F09D7"/>
    <w:rsid w:val="000F19A4"/>
    <w:rsid w:val="000F1A80"/>
    <w:rsid w:val="000F1BE8"/>
    <w:rsid w:val="000F20A7"/>
    <w:rsid w:val="000F32BF"/>
    <w:rsid w:val="000F3C7D"/>
    <w:rsid w:val="000F464E"/>
    <w:rsid w:val="000F4C2F"/>
    <w:rsid w:val="000F7CB7"/>
    <w:rsid w:val="001001A5"/>
    <w:rsid w:val="00101514"/>
    <w:rsid w:val="001016BA"/>
    <w:rsid w:val="00101E3E"/>
    <w:rsid w:val="00101EAF"/>
    <w:rsid w:val="00102193"/>
    <w:rsid w:val="00102B01"/>
    <w:rsid w:val="00103585"/>
    <w:rsid w:val="0010411B"/>
    <w:rsid w:val="00104126"/>
    <w:rsid w:val="00105644"/>
    <w:rsid w:val="0010691C"/>
    <w:rsid w:val="00107885"/>
    <w:rsid w:val="00107C12"/>
    <w:rsid w:val="00107F11"/>
    <w:rsid w:val="00111513"/>
    <w:rsid w:val="0011470C"/>
    <w:rsid w:val="00114A1F"/>
    <w:rsid w:val="00115050"/>
    <w:rsid w:val="00115383"/>
    <w:rsid w:val="00117798"/>
    <w:rsid w:val="001178DE"/>
    <w:rsid w:val="00120801"/>
    <w:rsid w:val="001208F8"/>
    <w:rsid w:val="00121FC3"/>
    <w:rsid w:val="001220B2"/>
    <w:rsid w:val="00122357"/>
    <w:rsid w:val="001228E5"/>
    <w:rsid w:val="00122E0D"/>
    <w:rsid w:val="001240F2"/>
    <w:rsid w:val="001241AA"/>
    <w:rsid w:val="00124938"/>
    <w:rsid w:val="00124A66"/>
    <w:rsid w:val="001254A2"/>
    <w:rsid w:val="00125908"/>
    <w:rsid w:val="00127A30"/>
    <w:rsid w:val="00127A93"/>
    <w:rsid w:val="00127F88"/>
    <w:rsid w:val="00130F9F"/>
    <w:rsid w:val="0013268C"/>
    <w:rsid w:val="00133290"/>
    <w:rsid w:val="0013349F"/>
    <w:rsid w:val="00135882"/>
    <w:rsid w:val="00135C22"/>
    <w:rsid w:val="00136067"/>
    <w:rsid w:val="00136322"/>
    <w:rsid w:val="0013767A"/>
    <w:rsid w:val="001379D4"/>
    <w:rsid w:val="00137E34"/>
    <w:rsid w:val="00140B0F"/>
    <w:rsid w:val="001412B3"/>
    <w:rsid w:val="001419D8"/>
    <w:rsid w:val="00141A47"/>
    <w:rsid w:val="00141FD5"/>
    <w:rsid w:val="00142759"/>
    <w:rsid w:val="00143389"/>
    <w:rsid w:val="00143650"/>
    <w:rsid w:val="001453ED"/>
    <w:rsid w:val="00146455"/>
    <w:rsid w:val="0014671D"/>
    <w:rsid w:val="00147711"/>
    <w:rsid w:val="0014790E"/>
    <w:rsid w:val="00147AB1"/>
    <w:rsid w:val="00150307"/>
    <w:rsid w:val="00152A10"/>
    <w:rsid w:val="001553C1"/>
    <w:rsid w:val="00155A8F"/>
    <w:rsid w:val="00155B1B"/>
    <w:rsid w:val="00155B9C"/>
    <w:rsid w:val="00156294"/>
    <w:rsid w:val="0015674F"/>
    <w:rsid w:val="00156A87"/>
    <w:rsid w:val="001600E4"/>
    <w:rsid w:val="001612A5"/>
    <w:rsid w:val="001615F4"/>
    <w:rsid w:val="001623D3"/>
    <w:rsid w:val="00162860"/>
    <w:rsid w:val="001637C5"/>
    <w:rsid w:val="00163E31"/>
    <w:rsid w:val="001644F4"/>
    <w:rsid w:val="001645B6"/>
    <w:rsid w:val="001647E0"/>
    <w:rsid w:val="00164C3B"/>
    <w:rsid w:val="0016570D"/>
    <w:rsid w:val="0016630F"/>
    <w:rsid w:val="001668D7"/>
    <w:rsid w:val="00166C4F"/>
    <w:rsid w:val="00167E48"/>
    <w:rsid w:val="0017007C"/>
    <w:rsid w:val="001700B1"/>
    <w:rsid w:val="00170112"/>
    <w:rsid w:val="00172F99"/>
    <w:rsid w:val="00173737"/>
    <w:rsid w:val="00173D7F"/>
    <w:rsid w:val="00174640"/>
    <w:rsid w:val="00175055"/>
    <w:rsid w:val="001755B7"/>
    <w:rsid w:val="00175766"/>
    <w:rsid w:val="0017715F"/>
    <w:rsid w:val="0017750C"/>
    <w:rsid w:val="00177DE2"/>
    <w:rsid w:val="00180F0E"/>
    <w:rsid w:val="00181FA0"/>
    <w:rsid w:val="00182BD8"/>
    <w:rsid w:val="0018317E"/>
    <w:rsid w:val="001861A9"/>
    <w:rsid w:val="001869DE"/>
    <w:rsid w:val="00190721"/>
    <w:rsid w:val="001912EA"/>
    <w:rsid w:val="00191617"/>
    <w:rsid w:val="00192299"/>
    <w:rsid w:val="0019273B"/>
    <w:rsid w:val="00192DE8"/>
    <w:rsid w:val="00192E40"/>
    <w:rsid w:val="00193C8C"/>
    <w:rsid w:val="00195DDA"/>
    <w:rsid w:val="00195EFF"/>
    <w:rsid w:val="00196E8E"/>
    <w:rsid w:val="00197483"/>
    <w:rsid w:val="00197632"/>
    <w:rsid w:val="0019781C"/>
    <w:rsid w:val="0019795A"/>
    <w:rsid w:val="00197F60"/>
    <w:rsid w:val="001A0A17"/>
    <w:rsid w:val="001A0D2C"/>
    <w:rsid w:val="001A0DAE"/>
    <w:rsid w:val="001A0E0A"/>
    <w:rsid w:val="001A157B"/>
    <w:rsid w:val="001A2A51"/>
    <w:rsid w:val="001A2DB2"/>
    <w:rsid w:val="001A2EF1"/>
    <w:rsid w:val="001A415E"/>
    <w:rsid w:val="001A4803"/>
    <w:rsid w:val="001A4B01"/>
    <w:rsid w:val="001A4B99"/>
    <w:rsid w:val="001A766F"/>
    <w:rsid w:val="001A78F7"/>
    <w:rsid w:val="001B08FE"/>
    <w:rsid w:val="001B1CE7"/>
    <w:rsid w:val="001B22E8"/>
    <w:rsid w:val="001B2554"/>
    <w:rsid w:val="001B2983"/>
    <w:rsid w:val="001B38E7"/>
    <w:rsid w:val="001B3FF5"/>
    <w:rsid w:val="001B5099"/>
    <w:rsid w:val="001C0348"/>
    <w:rsid w:val="001C03B2"/>
    <w:rsid w:val="001C086F"/>
    <w:rsid w:val="001C153F"/>
    <w:rsid w:val="001C1F90"/>
    <w:rsid w:val="001C3CFE"/>
    <w:rsid w:val="001C503D"/>
    <w:rsid w:val="001C5C5D"/>
    <w:rsid w:val="001C6D9B"/>
    <w:rsid w:val="001C752A"/>
    <w:rsid w:val="001D00EE"/>
    <w:rsid w:val="001D0A17"/>
    <w:rsid w:val="001D137C"/>
    <w:rsid w:val="001D19A9"/>
    <w:rsid w:val="001D2A70"/>
    <w:rsid w:val="001D2EDD"/>
    <w:rsid w:val="001D3091"/>
    <w:rsid w:val="001D35FA"/>
    <w:rsid w:val="001D3672"/>
    <w:rsid w:val="001D37F3"/>
    <w:rsid w:val="001D4E68"/>
    <w:rsid w:val="001D5992"/>
    <w:rsid w:val="001D5F1A"/>
    <w:rsid w:val="001D6A57"/>
    <w:rsid w:val="001D6FC1"/>
    <w:rsid w:val="001D722B"/>
    <w:rsid w:val="001D74D2"/>
    <w:rsid w:val="001D764A"/>
    <w:rsid w:val="001E04ED"/>
    <w:rsid w:val="001E12EA"/>
    <w:rsid w:val="001E323F"/>
    <w:rsid w:val="001E48DB"/>
    <w:rsid w:val="001E4AC0"/>
    <w:rsid w:val="001E62B3"/>
    <w:rsid w:val="001E6AAF"/>
    <w:rsid w:val="001E7BA9"/>
    <w:rsid w:val="001F1DDB"/>
    <w:rsid w:val="001F2672"/>
    <w:rsid w:val="001F3B9B"/>
    <w:rsid w:val="001F4A63"/>
    <w:rsid w:val="001F52C8"/>
    <w:rsid w:val="001F63F0"/>
    <w:rsid w:val="001F6A5E"/>
    <w:rsid w:val="001F6EF6"/>
    <w:rsid w:val="001F7564"/>
    <w:rsid w:val="002002E3"/>
    <w:rsid w:val="00200897"/>
    <w:rsid w:val="00200BE7"/>
    <w:rsid w:val="0020258C"/>
    <w:rsid w:val="0020260D"/>
    <w:rsid w:val="002039C0"/>
    <w:rsid w:val="00203B05"/>
    <w:rsid w:val="00203EB7"/>
    <w:rsid w:val="00204642"/>
    <w:rsid w:val="00204986"/>
    <w:rsid w:val="00206058"/>
    <w:rsid w:val="002073FF"/>
    <w:rsid w:val="00207A89"/>
    <w:rsid w:val="002116D5"/>
    <w:rsid w:val="00211A50"/>
    <w:rsid w:val="00212CC9"/>
    <w:rsid w:val="00212FFF"/>
    <w:rsid w:val="0021310E"/>
    <w:rsid w:val="00213404"/>
    <w:rsid w:val="002144EA"/>
    <w:rsid w:val="00214700"/>
    <w:rsid w:val="00214EBA"/>
    <w:rsid w:val="0021573C"/>
    <w:rsid w:val="002157AD"/>
    <w:rsid w:val="00216669"/>
    <w:rsid w:val="0021728C"/>
    <w:rsid w:val="002201F2"/>
    <w:rsid w:val="00222527"/>
    <w:rsid w:val="00222C20"/>
    <w:rsid w:val="002250FA"/>
    <w:rsid w:val="00225304"/>
    <w:rsid w:val="00225305"/>
    <w:rsid w:val="00225537"/>
    <w:rsid w:val="002261CA"/>
    <w:rsid w:val="002267EB"/>
    <w:rsid w:val="002269B0"/>
    <w:rsid w:val="00227C7F"/>
    <w:rsid w:val="00227ECE"/>
    <w:rsid w:val="002309C0"/>
    <w:rsid w:val="00230FEB"/>
    <w:rsid w:val="00231092"/>
    <w:rsid w:val="002313EC"/>
    <w:rsid w:val="00231D4F"/>
    <w:rsid w:val="00231F2B"/>
    <w:rsid w:val="00232921"/>
    <w:rsid w:val="00232D4D"/>
    <w:rsid w:val="00233A09"/>
    <w:rsid w:val="00235081"/>
    <w:rsid w:val="002350D8"/>
    <w:rsid w:val="0023531A"/>
    <w:rsid w:val="002358EA"/>
    <w:rsid w:val="00235A0C"/>
    <w:rsid w:val="00235D14"/>
    <w:rsid w:val="002369C6"/>
    <w:rsid w:val="00236EB1"/>
    <w:rsid w:val="00237E8E"/>
    <w:rsid w:val="002430DA"/>
    <w:rsid w:val="0024323F"/>
    <w:rsid w:val="0024363C"/>
    <w:rsid w:val="00244749"/>
    <w:rsid w:val="00245176"/>
    <w:rsid w:val="00245597"/>
    <w:rsid w:val="00246088"/>
    <w:rsid w:val="00246EDE"/>
    <w:rsid w:val="00247073"/>
    <w:rsid w:val="002521B4"/>
    <w:rsid w:val="00253166"/>
    <w:rsid w:val="00253A53"/>
    <w:rsid w:val="00254934"/>
    <w:rsid w:val="00254B28"/>
    <w:rsid w:val="00254B70"/>
    <w:rsid w:val="00255BAD"/>
    <w:rsid w:val="002561F5"/>
    <w:rsid w:val="0025661F"/>
    <w:rsid w:val="00257015"/>
    <w:rsid w:val="00257BD8"/>
    <w:rsid w:val="00260620"/>
    <w:rsid w:val="00260D0E"/>
    <w:rsid w:val="002640C3"/>
    <w:rsid w:val="0026429F"/>
    <w:rsid w:val="002648EF"/>
    <w:rsid w:val="0026536B"/>
    <w:rsid w:val="002653D4"/>
    <w:rsid w:val="002668BB"/>
    <w:rsid w:val="002669F4"/>
    <w:rsid w:val="00267765"/>
    <w:rsid w:val="002679EF"/>
    <w:rsid w:val="00271088"/>
    <w:rsid w:val="002710F5"/>
    <w:rsid w:val="00271EC1"/>
    <w:rsid w:val="00273C2C"/>
    <w:rsid w:val="00273E07"/>
    <w:rsid w:val="0027406D"/>
    <w:rsid w:val="00274357"/>
    <w:rsid w:val="00275014"/>
    <w:rsid w:val="00275553"/>
    <w:rsid w:val="0027752E"/>
    <w:rsid w:val="00277FC6"/>
    <w:rsid w:val="00281166"/>
    <w:rsid w:val="00282458"/>
    <w:rsid w:val="002835DA"/>
    <w:rsid w:val="00283ECB"/>
    <w:rsid w:val="00285961"/>
    <w:rsid w:val="00290406"/>
    <w:rsid w:val="00291173"/>
    <w:rsid w:val="00291A1F"/>
    <w:rsid w:val="0029276C"/>
    <w:rsid w:val="00293743"/>
    <w:rsid w:val="0029431E"/>
    <w:rsid w:val="002943E5"/>
    <w:rsid w:val="00294795"/>
    <w:rsid w:val="002956E5"/>
    <w:rsid w:val="00297B4E"/>
    <w:rsid w:val="002A09DB"/>
    <w:rsid w:val="002A1383"/>
    <w:rsid w:val="002A1BE9"/>
    <w:rsid w:val="002A1C99"/>
    <w:rsid w:val="002A2355"/>
    <w:rsid w:val="002A2BAE"/>
    <w:rsid w:val="002A3AA8"/>
    <w:rsid w:val="002A4671"/>
    <w:rsid w:val="002A52C8"/>
    <w:rsid w:val="002A5A3A"/>
    <w:rsid w:val="002A5E5A"/>
    <w:rsid w:val="002A7F9A"/>
    <w:rsid w:val="002B0AD5"/>
    <w:rsid w:val="002B0F74"/>
    <w:rsid w:val="002B1568"/>
    <w:rsid w:val="002B16EC"/>
    <w:rsid w:val="002B292D"/>
    <w:rsid w:val="002B2E7D"/>
    <w:rsid w:val="002B2EB9"/>
    <w:rsid w:val="002B316F"/>
    <w:rsid w:val="002B508B"/>
    <w:rsid w:val="002B59B0"/>
    <w:rsid w:val="002B6A65"/>
    <w:rsid w:val="002B6E3E"/>
    <w:rsid w:val="002C0A1C"/>
    <w:rsid w:val="002C0B3C"/>
    <w:rsid w:val="002C0BE8"/>
    <w:rsid w:val="002C10B1"/>
    <w:rsid w:val="002C113D"/>
    <w:rsid w:val="002C2221"/>
    <w:rsid w:val="002C2572"/>
    <w:rsid w:val="002C47EE"/>
    <w:rsid w:val="002C4D68"/>
    <w:rsid w:val="002C52CE"/>
    <w:rsid w:val="002C5A76"/>
    <w:rsid w:val="002C5DE1"/>
    <w:rsid w:val="002C6570"/>
    <w:rsid w:val="002C71A4"/>
    <w:rsid w:val="002C75E5"/>
    <w:rsid w:val="002C7C23"/>
    <w:rsid w:val="002D072A"/>
    <w:rsid w:val="002D0B63"/>
    <w:rsid w:val="002D0E42"/>
    <w:rsid w:val="002D115E"/>
    <w:rsid w:val="002D1D04"/>
    <w:rsid w:val="002D2023"/>
    <w:rsid w:val="002D2673"/>
    <w:rsid w:val="002D37CA"/>
    <w:rsid w:val="002D395C"/>
    <w:rsid w:val="002D3EEB"/>
    <w:rsid w:val="002D40C5"/>
    <w:rsid w:val="002D557F"/>
    <w:rsid w:val="002D6209"/>
    <w:rsid w:val="002D679C"/>
    <w:rsid w:val="002D70C9"/>
    <w:rsid w:val="002D7418"/>
    <w:rsid w:val="002D7B7A"/>
    <w:rsid w:val="002E13B5"/>
    <w:rsid w:val="002E161F"/>
    <w:rsid w:val="002E29C0"/>
    <w:rsid w:val="002E3124"/>
    <w:rsid w:val="002E3266"/>
    <w:rsid w:val="002E378C"/>
    <w:rsid w:val="002E45AD"/>
    <w:rsid w:val="002E4CB4"/>
    <w:rsid w:val="002E5997"/>
    <w:rsid w:val="002E60B3"/>
    <w:rsid w:val="002E6272"/>
    <w:rsid w:val="002E70E3"/>
    <w:rsid w:val="002E7347"/>
    <w:rsid w:val="002E7665"/>
    <w:rsid w:val="002E7B62"/>
    <w:rsid w:val="002F00F5"/>
    <w:rsid w:val="002F03FF"/>
    <w:rsid w:val="002F1E9B"/>
    <w:rsid w:val="002F1EC5"/>
    <w:rsid w:val="002F2388"/>
    <w:rsid w:val="002F45E8"/>
    <w:rsid w:val="002F4B34"/>
    <w:rsid w:val="002F56E7"/>
    <w:rsid w:val="002F5C47"/>
    <w:rsid w:val="002F5DEA"/>
    <w:rsid w:val="002F77B6"/>
    <w:rsid w:val="00300331"/>
    <w:rsid w:val="00301453"/>
    <w:rsid w:val="00301FD6"/>
    <w:rsid w:val="0030347E"/>
    <w:rsid w:val="00303E53"/>
    <w:rsid w:val="00304086"/>
    <w:rsid w:val="0030416A"/>
    <w:rsid w:val="00305F28"/>
    <w:rsid w:val="00306EBA"/>
    <w:rsid w:val="00306F87"/>
    <w:rsid w:val="003070F3"/>
    <w:rsid w:val="00315B61"/>
    <w:rsid w:val="003161F4"/>
    <w:rsid w:val="00316412"/>
    <w:rsid w:val="00316833"/>
    <w:rsid w:val="00316B0A"/>
    <w:rsid w:val="00317A10"/>
    <w:rsid w:val="00317D0D"/>
    <w:rsid w:val="00317ED8"/>
    <w:rsid w:val="003201B9"/>
    <w:rsid w:val="0032045D"/>
    <w:rsid w:val="00321450"/>
    <w:rsid w:val="00322550"/>
    <w:rsid w:val="00323EF5"/>
    <w:rsid w:val="00324516"/>
    <w:rsid w:val="00324D53"/>
    <w:rsid w:val="0032679F"/>
    <w:rsid w:val="00326A57"/>
    <w:rsid w:val="003275A4"/>
    <w:rsid w:val="003276EB"/>
    <w:rsid w:val="00331DFE"/>
    <w:rsid w:val="0033245E"/>
    <w:rsid w:val="003330EA"/>
    <w:rsid w:val="00333438"/>
    <w:rsid w:val="00333599"/>
    <w:rsid w:val="00333895"/>
    <w:rsid w:val="0033391E"/>
    <w:rsid w:val="00334A96"/>
    <w:rsid w:val="00335087"/>
    <w:rsid w:val="003350FE"/>
    <w:rsid w:val="00335BE3"/>
    <w:rsid w:val="003361D5"/>
    <w:rsid w:val="00336623"/>
    <w:rsid w:val="00337707"/>
    <w:rsid w:val="00341B31"/>
    <w:rsid w:val="003436DD"/>
    <w:rsid w:val="00343769"/>
    <w:rsid w:val="00343876"/>
    <w:rsid w:val="0034403A"/>
    <w:rsid w:val="00344B44"/>
    <w:rsid w:val="003460F2"/>
    <w:rsid w:val="00347356"/>
    <w:rsid w:val="00347517"/>
    <w:rsid w:val="003478A0"/>
    <w:rsid w:val="00347FD2"/>
    <w:rsid w:val="003504F6"/>
    <w:rsid w:val="00351FD5"/>
    <w:rsid w:val="003529E6"/>
    <w:rsid w:val="00352D70"/>
    <w:rsid w:val="003530C9"/>
    <w:rsid w:val="003533B1"/>
    <w:rsid w:val="003533DE"/>
    <w:rsid w:val="00353835"/>
    <w:rsid w:val="00354249"/>
    <w:rsid w:val="00354E9A"/>
    <w:rsid w:val="00355317"/>
    <w:rsid w:val="003570AA"/>
    <w:rsid w:val="003572AC"/>
    <w:rsid w:val="00357E25"/>
    <w:rsid w:val="0036020D"/>
    <w:rsid w:val="0036077E"/>
    <w:rsid w:val="00360CB7"/>
    <w:rsid w:val="00360F1B"/>
    <w:rsid w:val="003621D5"/>
    <w:rsid w:val="003626C7"/>
    <w:rsid w:val="00362E4B"/>
    <w:rsid w:val="00363494"/>
    <w:rsid w:val="003638B2"/>
    <w:rsid w:val="00363FF6"/>
    <w:rsid w:val="003645F9"/>
    <w:rsid w:val="003652B9"/>
    <w:rsid w:val="00365324"/>
    <w:rsid w:val="00365AD7"/>
    <w:rsid w:val="0036626B"/>
    <w:rsid w:val="00367060"/>
    <w:rsid w:val="003677F5"/>
    <w:rsid w:val="00372060"/>
    <w:rsid w:val="00372803"/>
    <w:rsid w:val="00372818"/>
    <w:rsid w:val="00373A86"/>
    <w:rsid w:val="00374572"/>
    <w:rsid w:val="003746A6"/>
    <w:rsid w:val="00375C70"/>
    <w:rsid w:val="00377025"/>
    <w:rsid w:val="003775B4"/>
    <w:rsid w:val="003800AB"/>
    <w:rsid w:val="00380154"/>
    <w:rsid w:val="00380183"/>
    <w:rsid w:val="00381A73"/>
    <w:rsid w:val="00382583"/>
    <w:rsid w:val="003827A0"/>
    <w:rsid w:val="00382CC6"/>
    <w:rsid w:val="00382EFA"/>
    <w:rsid w:val="003848BC"/>
    <w:rsid w:val="003855FE"/>
    <w:rsid w:val="0038573B"/>
    <w:rsid w:val="00385E69"/>
    <w:rsid w:val="003861E8"/>
    <w:rsid w:val="00390E5D"/>
    <w:rsid w:val="003910F9"/>
    <w:rsid w:val="0039264E"/>
    <w:rsid w:val="00393F0D"/>
    <w:rsid w:val="00394F81"/>
    <w:rsid w:val="00397072"/>
    <w:rsid w:val="00397972"/>
    <w:rsid w:val="00397A70"/>
    <w:rsid w:val="003A006D"/>
    <w:rsid w:val="003A0273"/>
    <w:rsid w:val="003A0D20"/>
    <w:rsid w:val="003A1BE5"/>
    <w:rsid w:val="003A3495"/>
    <w:rsid w:val="003A34BA"/>
    <w:rsid w:val="003A4054"/>
    <w:rsid w:val="003A48E6"/>
    <w:rsid w:val="003A55E1"/>
    <w:rsid w:val="003A599D"/>
    <w:rsid w:val="003A5D8D"/>
    <w:rsid w:val="003A6C73"/>
    <w:rsid w:val="003A7E34"/>
    <w:rsid w:val="003B1441"/>
    <w:rsid w:val="003B168D"/>
    <w:rsid w:val="003B41D9"/>
    <w:rsid w:val="003B4A60"/>
    <w:rsid w:val="003B4C8A"/>
    <w:rsid w:val="003B4D49"/>
    <w:rsid w:val="003B52E6"/>
    <w:rsid w:val="003B54D2"/>
    <w:rsid w:val="003B731F"/>
    <w:rsid w:val="003C0900"/>
    <w:rsid w:val="003C0A09"/>
    <w:rsid w:val="003C0C5D"/>
    <w:rsid w:val="003C1230"/>
    <w:rsid w:val="003C1442"/>
    <w:rsid w:val="003C1E35"/>
    <w:rsid w:val="003C4A75"/>
    <w:rsid w:val="003C5D81"/>
    <w:rsid w:val="003C66F6"/>
    <w:rsid w:val="003C73ED"/>
    <w:rsid w:val="003C7725"/>
    <w:rsid w:val="003D06FB"/>
    <w:rsid w:val="003D15AB"/>
    <w:rsid w:val="003D1CAE"/>
    <w:rsid w:val="003D1DB7"/>
    <w:rsid w:val="003D3956"/>
    <w:rsid w:val="003D41C5"/>
    <w:rsid w:val="003D5B0B"/>
    <w:rsid w:val="003D6928"/>
    <w:rsid w:val="003D722C"/>
    <w:rsid w:val="003D74B4"/>
    <w:rsid w:val="003D7554"/>
    <w:rsid w:val="003E0A03"/>
    <w:rsid w:val="003E1175"/>
    <w:rsid w:val="003E2626"/>
    <w:rsid w:val="003E5906"/>
    <w:rsid w:val="003E668B"/>
    <w:rsid w:val="003E68AA"/>
    <w:rsid w:val="003E692F"/>
    <w:rsid w:val="003E6C76"/>
    <w:rsid w:val="003E6FF1"/>
    <w:rsid w:val="003E7456"/>
    <w:rsid w:val="003E7668"/>
    <w:rsid w:val="003E76B6"/>
    <w:rsid w:val="003F03DB"/>
    <w:rsid w:val="003F0500"/>
    <w:rsid w:val="003F06B5"/>
    <w:rsid w:val="003F12F6"/>
    <w:rsid w:val="003F2D35"/>
    <w:rsid w:val="003F3C89"/>
    <w:rsid w:val="003F3ED3"/>
    <w:rsid w:val="003F4529"/>
    <w:rsid w:val="003F5690"/>
    <w:rsid w:val="003F79E1"/>
    <w:rsid w:val="00400995"/>
    <w:rsid w:val="00400C58"/>
    <w:rsid w:val="00401F78"/>
    <w:rsid w:val="00401FCA"/>
    <w:rsid w:val="004021EE"/>
    <w:rsid w:val="004026A8"/>
    <w:rsid w:val="00402869"/>
    <w:rsid w:val="00402980"/>
    <w:rsid w:val="00403188"/>
    <w:rsid w:val="00403575"/>
    <w:rsid w:val="0040381B"/>
    <w:rsid w:val="00403970"/>
    <w:rsid w:val="004047E3"/>
    <w:rsid w:val="004051C2"/>
    <w:rsid w:val="004062BB"/>
    <w:rsid w:val="00406905"/>
    <w:rsid w:val="004075FF"/>
    <w:rsid w:val="0041004B"/>
    <w:rsid w:val="004118D1"/>
    <w:rsid w:val="0041191D"/>
    <w:rsid w:val="00411B16"/>
    <w:rsid w:val="00411EDC"/>
    <w:rsid w:val="0041241D"/>
    <w:rsid w:val="004124FE"/>
    <w:rsid w:val="0041280A"/>
    <w:rsid w:val="00412EF4"/>
    <w:rsid w:val="00413974"/>
    <w:rsid w:val="004143F9"/>
    <w:rsid w:val="00414EA5"/>
    <w:rsid w:val="0041507C"/>
    <w:rsid w:val="00415ED7"/>
    <w:rsid w:val="00417396"/>
    <w:rsid w:val="00417678"/>
    <w:rsid w:val="0041790F"/>
    <w:rsid w:val="00420445"/>
    <w:rsid w:val="00421ACC"/>
    <w:rsid w:val="0042213A"/>
    <w:rsid w:val="00423517"/>
    <w:rsid w:val="004244D6"/>
    <w:rsid w:val="00424690"/>
    <w:rsid w:val="004248C3"/>
    <w:rsid w:val="00424ABE"/>
    <w:rsid w:val="00425E78"/>
    <w:rsid w:val="004260E4"/>
    <w:rsid w:val="00426F39"/>
    <w:rsid w:val="00432806"/>
    <w:rsid w:val="004338AF"/>
    <w:rsid w:val="00433BB2"/>
    <w:rsid w:val="00433EFC"/>
    <w:rsid w:val="00433F23"/>
    <w:rsid w:val="004350D0"/>
    <w:rsid w:val="00435226"/>
    <w:rsid w:val="00435416"/>
    <w:rsid w:val="004354CC"/>
    <w:rsid w:val="00435882"/>
    <w:rsid w:val="00436797"/>
    <w:rsid w:val="00436DBE"/>
    <w:rsid w:val="00437DAE"/>
    <w:rsid w:val="00437DF9"/>
    <w:rsid w:val="00440657"/>
    <w:rsid w:val="00441911"/>
    <w:rsid w:val="00442325"/>
    <w:rsid w:val="00442933"/>
    <w:rsid w:val="004436CA"/>
    <w:rsid w:val="00443937"/>
    <w:rsid w:val="004439B3"/>
    <w:rsid w:val="00443B04"/>
    <w:rsid w:val="00444E74"/>
    <w:rsid w:val="00450210"/>
    <w:rsid w:val="004512FC"/>
    <w:rsid w:val="00451479"/>
    <w:rsid w:val="00451BC5"/>
    <w:rsid w:val="00451C05"/>
    <w:rsid w:val="004528C4"/>
    <w:rsid w:val="00455D7B"/>
    <w:rsid w:val="00456D60"/>
    <w:rsid w:val="004605AD"/>
    <w:rsid w:val="0046080C"/>
    <w:rsid w:val="004609C3"/>
    <w:rsid w:val="00460A4C"/>
    <w:rsid w:val="00460C31"/>
    <w:rsid w:val="004621F5"/>
    <w:rsid w:val="00462C69"/>
    <w:rsid w:val="0046414A"/>
    <w:rsid w:val="00464451"/>
    <w:rsid w:val="004645B2"/>
    <w:rsid w:val="004706AA"/>
    <w:rsid w:val="00470FA1"/>
    <w:rsid w:val="004714DA"/>
    <w:rsid w:val="0047265B"/>
    <w:rsid w:val="004735C6"/>
    <w:rsid w:val="00474407"/>
    <w:rsid w:val="004764D9"/>
    <w:rsid w:val="00477EED"/>
    <w:rsid w:val="00480C39"/>
    <w:rsid w:val="004814FD"/>
    <w:rsid w:val="00481697"/>
    <w:rsid w:val="00481743"/>
    <w:rsid w:val="00482356"/>
    <w:rsid w:val="00482515"/>
    <w:rsid w:val="00482E4F"/>
    <w:rsid w:val="00483058"/>
    <w:rsid w:val="004830CA"/>
    <w:rsid w:val="0048373F"/>
    <w:rsid w:val="00483A56"/>
    <w:rsid w:val="00484316"/>
    <w:rsid w:val="0048470E"/>
    <w:rsid w:val="00484A6E"/>
    <w:rsid w:val="0048558A"/>
    <w:rsid w:val="0048585E"/>
    <w:rsid w:val="00485C27"/>
    <w:rsid w:val="004914CE"/>
    <w:rsid w:val="0049151C"/>
    <w:rsid w:val="004940EC"/>
    <w:rsid w:val="00494798"/>
    <w:rsid w:val="0049766E"/>
    <w:rsid w:val="00497856"/>
    <w:rsid w:val="004A11C5"/>
    <w:rsid w:val="004A1351"/>
    <w:rsid w:val="004A18A7"/>
    <w:rsid w:val="004A1ACF"/>
    <w:rsid w:val="004A24E5"/>
    <w:rsid w:val="004A2FA3"/>
    <w:rsid w:val="004A47B4"/>
    <w:rsid w:val="004A4C17"/>
    <w:rsid w:val="004A60B7"/>
    <w:rsid w:val="004A6923"/>
    <w:rsid w:val="004A6CA0"/>
    <w:rsid w:val="004B1F01"/>
    <w:rsid w:val="004B2C6E"/>
    <w:rsid w:val="004B2CB0"/>
    <w:rsid w:val="004B3D97"/>
    <w:rsid w:val="004B4ABC"/>
    <w:rsid w:val="004B4CE9"/>
    <w:rsid w:val="004B58EB"/>
    <w:rsid w:val="004B679B"/>
    <w:rsid w:val="004C01B4"/>
    <w:rsid w:val="004C09FE"/>
    <w:rsid w:val="004C0E44"/>
    <w:rsid w:val="004C17B4"/>
    <w:rsid w:val="004C1DBD"/>
    <w:rsid w:val="004C1FCC"/>
    <w:rsid w:val="004C2FDF"/>
    <w:rsid w:val="004C332A"/>
    <w:rsid w:val="004C493F"/>
    <w:rsid w:val="004C5306"/>
    <w:rsid w:val="004C5414"/>
    <w:rsid w:val="004C61CC"/>
    <w:rsid w:val="004C750D"/>
    <w:rsid w:val="004C78D6"/>
    <w:rsid w:val="004D139C"/>
    <w:rsid w:val="004D350F"/>
    <w:rsid w:val="004D46EB"/>
    <w:rsid w:val="004D4964"/>
    <w:rsid w:val="004D49D2"/>
    <w:rsid w:val="004D5455"/>
    <w:rsid w:val="004D5E86"/>
    <w:rsid w:val="004D620B"/>
    <w:rsid w:val="004D6D0C"/>
    <w:rsid w:val="004E0417"/>
    <w:rsid w:val="004E041B"/>
    <w:rsid w:val="004E0BF7"/>
    <w:rsid w:val="004E0F51"/>
    <w:rsid w:val="004E12F3"/>
    <w:rsid w:val="004E197B"/>
    <w:rsid w:val="004E27F8"/>
    <w:rsid w:val="004E35A8"/>
    <w:rsid w:val="004E50C9"/>
    <w:rsid w:val="004E6498"/>
    <w:rsid w:val="004E71C3"/>
    <w:rsid w:val="004E73A2"/>
    <w:rsid w:val="004F0089"/>
    <w:rsid w:val="004F00E1"/>
    <w:rsid w:val="004F08D5"/>
    <w:rsid w:val="004F10BA"/>
    <w:rsid w:val="004F16AA"/>
    <w:rsid w:val="004F2C04"/>
    <w:rsid w:val="004F2C5F"/>
    <w:rsid w:val="004F2E54"/>
    <w:rsid w:val="004F3964"/>
    <w:rsid w:val="004F3A27"/>
    <w:rsid w:val="004F3C53"/>
    <w:rsid w:val="004F4406"/>
    <w:rsid w:val="004F4D05"/>
    <w:rsid w:val="004F4F99"/>
    <w:rsid w:val="00502F99"/>
    <w:rsid w:val="0050408D"/>
    <w:rsid w:val="00504767"/>
    <w:rsid w:val="00505FCA"/>
    <w:rsid w:val="00507824"/>
    <w:rsid w:val="005108B6"/>
    <w:rsid w:val="00511365"/>
    <w:rsid w:val="00511397"/>
    <w:rsid w:val="00511873"/>
    <w:rsid w:val="005127E0"/>
    <w:rsid w:val="00513B57"/>
    <w:rsid w:val="00513D40"/>
    <w:rsid w:val="0051441E"/>
    <w:rsid w:val="005146A2"/>
    <w:rsid w:val="005150B8"/>
    <w:rsid w:val="005164F5"/>
    <w:rsid w:val="00516A9A"/>
    <w:rsid w:val="00516B04"/>
    <w:rsid w:val="00520996"/>
    <w:rsid w:val="005219CB"/>
    <w:rsid w:val="00521BB5"/>
    <w:rsid w:val="00521DDF"/>
    <w:rsid w:val="00522FD7"/>
    <w:rsid w:val="005242B7"/>
    <w:rsid w:val="005246BC"/>
    <w:rsid w:val="00527491"/>
    <w:rsid w:val="00527F5B"/>
    <w:rsid w:val="00530E74"/>
    <w:rsid w:val="005310AA"/>
    <w:rsid w:val="005312F9"/>
    <w:rsid w:val="0053212E"/>
    <w:rsid w:val="00532FD6"/>
    <w:rsid w:val="00536239"/>
    <w:rsid w:val="005379FE"/>
    <w:rsid w:val="00537E9A"/>
    <w:rsid w:val="005403BF"/>
    <w:rsid w:val="0054186C"/>
    <w:rsid w:val="00542105"/>
    <w:rsid w:val="00542541"/>
    <w:rsid w:val="00542583"/>
    <w:rsid w:val="00542A08"/>
    <w:rsid w:val="005439C9"/>
    <w:rsid w:val="00544395"/>
    <w:rsid w:val="00544537"/>
    <w:rsid w:val="00544E8D"/>
    <w:rsid w:val="005452E8"/>
    <w:rsid w:val="00545B7C"/>
    <w:rsid w:val="005506D9"/>
    <w:rsid w:val="00550A39"/>
    <w:rsid w:val="00550C68"/>
    <w:rsid w:val="00550DC9"/>
    <w:rsid w:val="00550E07"/>
    <w:rsid w:val="00551336"/>
    <w:rsid w:val="005529CD"/>
    <w:rsid w:val="00553404"/>
    <w:rsid w:val="00554C4F"/>
    <w:rsid w:val="00554D67"/>
    <w:rsid w:val="0055668F"/>
    <w:rsid w:val="00556F7D"/>
    <w:rsid w:val="00557A71"/>
    <w:rsid w:val="00557CA0"/>
    <w:rsid w:val="00557E2A"/>
    <w:rsid w:val="00557F14"/>
    <w:rsid w:val="005603BC"/>
    <w:rsid w:val="005605B6"/>
    <w:rsid w:val="005609B8"/>
    <w:rsid w:val="005611BD"/>
    <w:rsid w:val="00561CA1"/>
    <w:rsid w:val="005620BF"/>
    <w:rsid w:val="005633DD"/>
    <w:rsid w:val="00563BD6"/>
    <w:rsid w:val="00564A98"/>
    <w:rsid w:val="00566AFF"/>
    <w:rsid w:val="00567053"/>
    <w:rsid w:val="00567189"/>
    <w:rsid w:val="005702E1"/>
    <w:rsid w:val="00570B2E"/>
    <w:rsid w:val="005710A7"/>
    <w:rsid w:val="00571304"/>
    <w:rsid w:val="00571ABE"/>
    <w:rsid w:val="005723E4"/>
    <w:rsid w:val="00573338"/>
    <w:rsid w:val="00573DB6"/>
    <w:rsid w:val="00574351"/>
    <w:rsid w:val="00574487"/>
    <w:rsid w:val="00574E70"/>
    <w:rsid w:val="00576873"/>
    <w:rsid w:val="00576A71"/>
    <w:rsid w:val="0057786D"/>
    <w:rsid w:val="00580806"/>
    <w:rsid w:val="0058101A"/>
    <w:rsid w:val="00581031"/>
    <w:rsid w:val="00581398"/>
    <w:rsid w:val="00581AD6"/>
    <w:rsid w:val="00583780"/>
    <w:rsid w:val="005858A3"/>
    <w:rsid w:val="005862C2"/>
    <w:rsid w:val="0058655B"/>
    <w:rsid w:val="00586AE7"/>
    <w:rsid w:val="00587BB1"/>
    <w:rsid w:val="00587F16"/>
    <w:rsid w:val="005908E3"/>
    <w:rsid w:val="00590E56"/>
    <w:rsid w:val="005918F7"/>
    <w:rsid w:val="005919BA"/>
    <w:rsid w:val="005922C2"/>
    <w:rsid w:val="0059344F"/>
    <w:rsid w:val="005940C2"/>
    <w:rsid w:val="005943CF"/>
    <w:rsid w:val="00594E1E"/>
    <w:rsid w:val="00594EE7"/>
    <w:rsid w:val="00595E3B"/>
    <w:rsid w:val="005963AD"/>
    <w:rsid w:val="0059663C"/>
    <w:rsid w:val="00596A26"/>
    <w:rsid w:val="0059728A"/>
    <w:rsid w:val="005976C6"/>
    <w:rsid w:val="005A04FD"/>
    <w:rsid w:val="005A05BD"/>
    <w:rsid w:val="005A0678"/>
    <w:rsid w:val="005A0867"/>
    <w:rsid w:val="005A1000"/>
    <w:rsid w:val="005A1B20"/>
    <w:rsid w:val="005A2167"/>
    <w:rsid w:val="005A2557"/>
    <w:rsid w:val="005A360F"/>
    <w:rsid w:val="005A4BDA"/>
    <w:rsid w:val="005A5477"/>
    <w:rsid w:val="005A5AE9"/>
    <w:rsid w:val="005A7F50"/>
    <w:rsid w:val="005B098B"/>
    <w:rsid w:val="005B11D5"/>
    <w:rsid w:val="005B2F24"/>
    <w:rsid w:val="005B309C"/>
    <w:rsid w:val="005B3FD1"/>
    <w:rsid w:val="005B6E46"/>
    <w:rsid w:val="005B7ABC"/>
    <w:rsid w:val="005B7C1E"/>
    <w:rsid w:val="005B7C45"/>
    <w:rsid w:val="005C1362"/>
    <w:rsid w:val="005C1444"/>
    <w:rsid w:val="005C1B56"/>
    <w:rsid w:val="005C25EB"/>
    <w:rsid w:val="005C287C"/>
    <w:rsid w:val="005C2924"/>
    <w:rsid w:val="005C2AA6"/>
    <w:rsid w:val="005C3043"/>
    <w:rsid w:val="005C4337"/>
    <w:rsid w:val="005C47E1"/>
    <w:rsid w:val="005C6B21"/>
    <w:rsid w:val="005C6C8D"/>
    <w:rsid w:val="005C6FE5"/>
    <w:rsid w:val="005C7679"/>
    <w:rsid w:val="005D06FF"/>
    <w:rsid w:val="005D1A16"/>
    <w:rsid w:val="005D1BE8"/>
    <w:rsid w:val="005D2AE4"/>
    <w:rsid w:val="005D2DB9"/>
    <w:rsid w:val="005D33EF"/>
    <w:rsid w:val="005D4360"/>
    <w:rsid w:val="005D5552"/>
    <w:rsid w:val="005D5D8A"/>
    <w:rsid w:val="005E129A"/>
    <w:rsid w:val="005E1734"/>
    <w:rsid w:val="005E19F0"/>
    <w:rsid w:val="005E4696"/>
    <w:rsid w:val="005E4E40"/>
    <w:rsid w:val="005E53FE"/>
    <w:rsid w:val="005E61D2"/>
    <w:rsid w:val="005E79AF"/>
    <w:rsid w:val="005E7C97"/>
    <w:rsid w:val="005E7D5F"/>
    <w:rsid w:val="005F04D1"/>
    <w:rsid w:val="005F09E5"/>
    <w:rsid w:val="005F0CE6"/>
    <w:rsid w:val="005F1F28"/>
    <w:rsid w:val="005F4B26"/>
    <w:rsid w:val="005F5798"/>
    <w:rsid w:val="005F58CA"/>
    <w:rsid w:val="005F5D68"/>
    <w:rsid w:val="005F5FDF"/>
    <w:rsid w:val="005F7E7A"/>
    <w:rsid w:val="006003BB"/>
    <w:rsid w:val="006010DD"/>
    <w:rsid w:val="00601145"/>
    <w:rsid w:val="00601910"/>
    <w:rsid w:val="00601917"/>
    <w:rsid w:val="00601EF8"/>
    <w:rsid w:val="00602449"/>
    <w:rsid w:val="00602E03"/>
    <w:rsid w:val="00603139"/>
    <w:rsid w:val="00603FC4"/>
    <w:rsid w:val="00604744"/>
    <w:rsid w:val="00605E13"/>
    <w:rsid w:val="00606376"/>
    <w:rsid w:val="0060637A"/>
    <w:rsid w:val="00606B0F"/>
    <w:rsid w:val="0061032F"/>
    <w:rsid w:val="006103ED"/>
    <w:rsid w:val="00611089"/>
    <w:rsid w:val="00611252"/>
    <w:rsid w:val="00612CFC"/>
    <w:rsid w:val="006135A9"/>
    <w:rsid w:val="006141A4"/>
    <w:rsid w:val="006171CA"/>
    <w:rsid w:val="00620B00"/>
    <w:rsid w:val="0062157B"/>
    <w:rsid w:val="00623FD4"/>
    <w:rsid w:val="00624737"/>
    <w:rsid w:val="00625C1D"/>
    <w:rsid w:val="006265EE"/>
    <w:rsid w:val="00626BD9"/>
    <w:rsid w:val="006272CE"/>
    <w:rsid w:val="006272F1"/>
    <w:rsid w:val="006273FE"/>
    <w:rsid w:val="00630268"/>
    <w:rsid w:val="00630600"/>
    <w:rsid w:val="00630915"/>
    <w:rsid w:val="00630953"/>
    <w:rsid w:val="00630BD0"/>
    <w:rsid w:val="00631302"/>
    <w:rsid w:val="00631F15"/>
    <w:rsid w:val="00632416"/>
    <w:rsid w:val="006329DB"/>
    <w:rsid w:val="00633ADB"/>
    <w:rsid w:val="00633E68"/>
    <w:rsid w:val="0063479E"/>
    <w:rsid w:val="006351EA"/>
    <w:rsid w:val="00635891"/>
    <w:rsid w:val="006364F8"/>
    <w:rsid w:val="0063678C"/>
    <w:rsid w:val="0063699C"/>
    <w:rsid w:val="006401C0"/>
    <w:rsid w:val="006412AF"/>
    <w:rsid w:val="006412FC"/>
    <w:rsid w:val="00641555"/>
    <w:rsid w:val="006415D3"/>
    <w:rsid w:val="00642263"/>
    <w:rsid w:val="0064227E"/>
    <w:rsid w:val="006424BB"/>
    <w:rsid w:val="006438B6"/>
    <w:rsid w:val="00647974"/>
    <w:rsid w:val="00647EB2"/>
    <w:rsid w:val="006509C0"/>
    <w:rsid w:val="00651075"/>
    <w:rsid w:val="006523C4"/>
    <w:rsid w:val="00654527"/>
    <w:rsid w:val="00654FC5"/>
    <w:rsid w:val="00655299"/>
    <w:rsid w:val="0065755A"/>
    <w:rsid w:val="00660008"/>
    <w:rsid w:val="006602CE"/>
    <w:rsid w:val="00661D12"/>
    <w:rsid w:val="006624DD"/>
    <w:rsid w:val="006629E4"/>
    <w:rsid w:val="00663459"/>
    <w:rsid w:val="006634A5"/>
    <w:rsid w:val="00665500"/>
    <w:rsid w:val="00665F8C"/>
    <w:rsid w:val="00667EE6"/>
    <w:rsid w:val="00670114"/>
    <w:rsid w:val="00670713"/>
    <w:rsid w:val="00671D3F"/>
    <w:rsid w:val="0067272F"/>
    <w:rsid w:val="00672C7D"/>
    <w:rsid w:val="0067423A"/>
    <w:rsid w:val="0067580F"/>
    <w:rsid w:val="00680B72"/>
    <w:rsid w:val="0068245B"/>
    <w:rsid w:val="00682860"/>
    <w:rsid w:val="00682A3E"/>
    <w:rsid w:val="00682DF4"/>
    <w:rsid w:val="00686862"/>
    <w:rsid w:val="00686E3C"/>
    <w:rsid w:val="00690410"/>
    <w:rsid w:val="006907B7"/>
    <w:rsid w:val="00690A10"/>
    <w:rsid w:val="00691E1A"/>
    <w:rsid w:val="00692495"/>
    <w:rsid w:val="006929D5"/>
    <w:rsid w:val="006934F4"/>
    <w:rsid w:val="006935A3"/>
    <w:rsid w:val="00693A08"/>
    <w:rsid w:val="00694A92"/>
    <w:rsid w:val="00696886"/>
    <w:rsid w:val="00696A63"/>
    <w:rsid w:val="00697806"/>
    <w:rsid w:val="006978D3"/>
    <w:rsid w:val="006A0EEA"/>
    <w:rsid w:val="006A2B10"/>
    <w:rsid w:val="006A2D6A"/>
    <w:rsid w:val="006A42CE"/>
    <w:rsid w:val="006A5978"/>
    <w:rsid w:val="006A6A2A"/>
    <w:rsid w:val="006A6C8C"/>
    <w:rsid w:val="006A7AA1"/>
    <w:rsid w:val="006B0597"/>
    <w:rsid w:val="006B0D25"/>
    <w:rsid w:val="006B1FA5"/>
    <w:rsid w:val="006B2134"/>
    <w:rsid w:val="006B255C"/>
    <w:rsid w:val="006B2963"/>
    <w:rsid w:val="006B2E9E"/>
    <w:rsid w:val="006B4AF8"/>
    <w:rsid w:val="006B54B9"/>
    <w:rsid w:val="006B62F0"/>
    <w:rsid w:val="006B7C1D"/>
    <w:rsid w:val="006B7E60"/>
    <w:rsid w:val="006C03F5"/>
    <w:rsid w:val="006C0EA9"/>
    <w:rsid w:val="006C137A"/>
    <w:rsid w:val="006C14BF"/>
    <w:rsid w:val="006C3603"/>
    <w:rsid w:val="006C3726"/>
    <w:rsid w:val="006C438F"/>
    <w:rsid w:val="006C43AC"/>
    <w:rsid w:val="006C68C3"/>
    <w:rsid w:val="006C728B"/>
    <w:rsid w:val="006C7302"/>
    <w:rsid w:val="006C774A"/>
    <w:rsid w:val="006C7DBD"/>
    <w:rsid w:val="006D0036"/>
    <w:rsid w:val="006D29BA"/>
    <w:rsid w:val="006D58A6"/>
    <w:rsid w:val="006D59F0"/>
    <w:rsid w:val="006D684C"/>
    <w:rsid w:val="006D6B66"/>
    <w:rsid w:val="006D6EAD"/>
    <w:rsid w:val="006D7135"/>
    <w:rsid w:val="006D7879"/>
    <w:rsid w:val="006E073E"/>
    <w:rsid w:val="006E0FC1"/>
    <w:rsid w:val="006E196D"/>
    <w:rsid w:val="006E2E3F"/>
    <w:rsid w:val="006E2F39"/>
    <w:rsid w:val="006E3C41"/>
    <w:rsid w:val="006E421E"/>
    <w:rsid w:val="006E6341"/>
    <w:rsid w:val="006E7F4E"/>
    <w:rsid w:val="006F0C4D"/>
    <w:rsid w:val="006F1CF4"/>
    <w:rsid w:val="006F2434"/>
    <w:rsid w:val="006F2D2C"/>
    <w:rsid w:val="006F3415"/>
    <w:rsid w:val="006F3D21"/>
    <w:rsid w:val="006F55DD"/>
    <w:rsid w:val="006F5BE0"/>
    <w:rsid w:val="006F6679"/>
    <w:rsid w:val="006F7860"/>
    <w:rsid w:val="006F7EA6"/>
    <w:rsid w:val="00700911"/>
    <w:rsid w:val="00702873"/>
    <w:rsid w:val="00702E4C"/>
    <w:rsid w:val="00703860"/>
    <w:rsid w:val="00704050"/>
    <w:rsid w:val="0070492C"/>
    <w:rsid w:val="00705627"/>
    <w:rsid w:val="00705D39"/>
    <w:rsid w:val="00706CDD"/>
    <w:rsid w:val="0070792A"/>
    <w:rsid w:val="00710422"/>
    <w:rsid w:val="007105CD"/>
    <w:rsid w:val="00711889"/>
    <w:rsid w:val="007124D6"/>
    <w:rsid w:val="007127AA"/>
    <w:rsid w:val="00714AFB"/>
    <w:rsid w:val="0071521D"/>
    <w:rsid w:val="00715B51"/>
    <w:rsid w:val="00715F79"/>
    <w:rsid w:val="00716079"/>
    <w:rsid w:val="0071665E"/>
    <w:rsid w:val="007177AA"/>
    <w:rsid w:val="00717C87"/>
    <w:rsid w:val="00721276"/>
    <w:rsid w:val="007219BD"/>
    <w:rsid w:val="00722578"/>
    <w:rsid w:val="00723301"/>
    <w:rsid w:val="007239B5"/>
    <w:rsid w:val="00723AA6"/>
    <w:rsid w:val="007241E6"/>
    <w:rsid w:val="0072452B"/>
    <w:rsid w:val="00725187"/>
    <w:rsid w:val="00725B68"/>
    <w:rsid w:val="00725BA9"/>
    <w:rsid w:val="0072624C"/>
    <w:rsid w:val="00727E8C"/>
    <w:rsid w:val="00730F34"/>
    <w:rsid w:val="007313A8"/>
    <w:rsid w:val="00732156"/>
    <w:rsid w:val="0073334D"/>
    <w:rsid w:val="00735246"/>
    <w:rsid w:val="00736634"/>
    <w:rsid w:val="00736857"/>
    <w:rsid w:val="00736C88"/>
    <w:rsid w:val="00737145"/>
    <w:rsid w:val="00737D53"/>
    <w:rsid w:val="00737DEE"/>
    <w:rsid w:val="007415FC"/>
    <w:rsid w:val="00741AE5"/>
    <w:rsid w:val="00741C9A"/>
    <w:rsid w:val="00742482"/>
    <w:rsid w:val="00742A7B"/>
    <w:rsid w:val="00745005"/>
    <w:rsid w:val="00745309"/>
    <w:rsid w:val="00745E04"/>
    <w:rsid w:val="007474B6"/>
    <w:rsid w:val="00747FC9"/>
    <w:rsid w:val="00750309"/>
    <w:rsid w:val="00750614"/>
    <w:rsid w:val="00750883"/>
    <w:rsid w:val="0075182B"/>
    <w:rsid w:val="00751C1A"/>
    <w:rsid w:val="00752173"/>
    <w:rsid w:val="0075238E"/>
    <w:rsid w:val="007525C5"/>
    <w:rsid w:val="00752F28"/>
    <w:rsid w:val="00752FEF"/>
    <w:rsid w:val="00753962"/>
    <w:rsid w:val="00753A3D"/>
    <w:rsid w:val="0075427E"/>
    <w:rsid w:val="007542FB"/>
    <w:rsid w:val="007564FF"/>
    <w:rsid w:val="00756BDA"/>
    <w:rsid w:val="00757025"/>
    <w:rsid w:val="007570A4"/>
    <w:rsid w:val="00757E8E"/>
    <w:rsid w:val="00760A50"/>
    <w:rsid w:val="007618D8"/>
    <w:rsid w:val="007626F2"/>
    <w:rsid w:val="00762815"/>
    <w:rsid w:val="00762EE7"/>
    <w:rsid w:val="0076376E"/>
    <w:rsid w:val="0076549A"/>
    <w:rsid w:val="00765601"/>
    <w:rsid w:val="007665EC"/>
    <w:rsid w:val="00766982"/>
    <w:rsid w:val="00766DA5"/>
    <w:rsid w:val="007676FE"/>
    <w:rsid w:val="0076778D"/>
    <w:rsid w:val="00767AF1"/>
    <w:rsid w:val="00767DA2"/>
    <w:rsid w:val="0077009A"/>
    <w:rsid w:val="007706DB"/>
    <w:rsid w:val="00772130"/>
    <w:rsid w:val="007728CE"/>
    <w:rsid w:val="007728F5"/>
    <w:rsid w:val="00772AE2"/>
    <w:rsid w:val="00772F97"/>
    <w:rsid w:val="007731A7"/>
    <w:rsid w:val="00773404"/>
    <w:rsid w:val="00774A03"/>
    <w:rsid w:val="00775178"/>
    <w:rsid w:val="00775981"/>
    <w:rsid w:val="00781790"/>
    <w:rsid w:val="007828CB"/>
    <w:rsid w:val="00782AEF"/>
    <w:rsid w:val="00782C13"/>
    <w:rsid w:val="00784603"/>
    <w:rsid w:val="00784EDF"/>
    <w:rsid w:val="00785E81"/>
    <w:rsid w:val="007866E7"/>
    <w:rsid w:val="00786B8E"/>
    <w:rsid w:val="007874AF"/>
    <w:rsid w:val="0078788F"/>
    <w:rsid w:val="00787AFA"/>
    <w:rsid w:val="0079033D"/>
    <w:rsid w:val="00790419"/>
    <w:rsid w:val="007905D2"/>
    <w:rsid w:val="007922DE"/>
    <w:rsid w:val="00793614"/>
    <w:rsid w:val="00793BE3"/>
    <w:rsid w:val="00793E54"/>
    <w:rsid w:val="00793E61"/>
    <w:rsid w:val="007941FB"/>
    <w:rsid w:val="0079481B"/>
    <w:rsid w:val="0079504B"/>
    <w:rsid w:val="00795D61"/>
    <w:rsid w:val="00795F51"/>
    <w:rsid w:val="0079688B"/>
    <w:rsid w:val="00797954"/>
    <w:rsid w:val="007A2BF8"/>
    <w:rsid w:val="007A3C7D"/>
    <w:rsid w:val="007A44AD"/>
    <w:rsid w:val="007A47B1"/>
    <w:rsid w:val="007A4817"/>
    <w:rsid w:val="007A5849"/>
    <w:rsid w:val="007A609A"/>
    <w:rsid w:val="007A6750"/>
    <w:rsid w:val="007A6ACE"/>
    <w:rsid w:val="007A6D6A"/>
    <w:rsid w:val="007A6DB4"/>
    <w:rsid w:val="007A71EE"/>
    <w:rsid w:val="007B0D45"/>
    <w:rsid w:val="007B1846"/>
    <w:rsid w:val="007B18CB"/>
    <w:rsid w:val="007B1C89"/>
    <w:rsid w:val="007B2ED5"/>
    <w:rsid w:val="007B3052"/>
    <w:rsid w:val="007B45C7"/>
    <w:rsid w:val="007B5748"/>
    <w:rsid w:val="007B5981"/>
    <w:rsid w:val="007B6873"/>
    <w:rsid w:val="007B75D8"/>
    <w:rsid w:val="007C05B7"/>
    <w:rsid w:val="007C0724"/>
    <w:rsid w:val="007C266C"/>
    <w:rsid w:val="007C3C0A"/>
    <w:rsid w:val="007C3C64"/>
    <w:rsid w:val="007C51F3"/>
    <w:rsid w:val="007C698B"/>
    <w:rsid w:val="007C720A"/>
    <w:rsid w:val="007C7D87"/>
    <w:rsid w:val="007D083F"/>
    <w:rsid w:val="007D0EB2"/>
    <w:rsid w:val="007D0EE5"/>
    <w:rsid w:val="007D10F8"/>
    <w:rsid w:val="007D221E"/>
    <w:rsid w:val="007D237E"/>
    <w:rsid w:val="007D2DDE"/>
    <w:rsid w:val="007D34DC"/>
    <w:rsid w:val="007D3F7F"/>
    <w:rsid w:val="007D4BE7"/>
    <w:rsid w:val="007D4CD2"/>
    <w:rsid w:val="007D507E"/>
    <w:rsid w:val="007D51AE"/>
    <w:rsid w:val="007D5E2F"/>
    <w:rsid w:val="007D6612"/>
    <w:rsid w:val="007E0640"/>
    <w:rsid w:val="007E079A"/>
    <w:rsid w:val="007E1190"/>
    <w:rsid w:val="007E1F39"/>
    <w:rsid w:val="007E28BE"/>
    <w:rsid w:val="007E2E83"/>
    <w:rsid w:val="007E4700"/>
    <w:rsid w:val="007E4A61"/>
    <w:rsid w:val="007E4D1D"/>
    <w:rsid w:val="007E532C"/>
    <w:rsid w:val="007E631E"/>
    <w:rsid w:val="007E63D0"/>
    <w:rsid w:val="007E6558"/>
    <w:rsid w:val="007E757D"/>
    <w:rsid w:val="007F1065"/>
    <w:rsid w:val="007F1129"/>
    <w:rsid w:val="007F1C15"/>
    <w:rsid w:val="007F2530"/>
    <w:rsid w:val="007F26A9"/>
    <w:rsid w:val="007F329A"/>
    <w:rsid w:val="007F33D0"/>
    <w:rsid w:val="007F3E92"/>
    <w:rsid w:val="007F411A"/>
    <w:rsid w:val="007F4148"/>
    <w:rsid w:val="007F4B3F"/>
    <w:rsid w:val="007F4CAD"/>
    <w:rsid w:val="007F4CF4"/>
    <w:rsid w:val="007F5B63"/>
    <w:rsid w:val="007F65A1"/>
    <w:rsid w:val="007F67F5"/>
    <w:rsid w:val="007F75FF"/>
    <w:rsid w:val="007F7EFE"/>
    <w:rsid w:val="007F7F08"/>
    <w:rsid w:val="00800347"/>
    <w:rsid w:val="00801073"/>
    <w:rsid w:val="008010AF"/>
    <w:rsid w:val="0080121D"/>
    <w:rsid w:val="00801B2E"/>
    <w:rsid w:val="0080213F"/>
    <w:rsid w:val="008022DA"/>
    <w:rsid w:val="0080253C"/>
    <w:rsid w:val="00802B0F"/>
    <w:rsid w:val="0080393F"/>
    <w:rsid w:val="00804165"/>
    <w:rsid w:val="00804DF8"/>
    <w:rsid w:val="00805A4D"/>
    <w:rsid w:val="00805BBF"/>
    <w:rsid w:val="00805C26"/>
    <w:rsid w:val="00806899"/>
    <w:rsid w:val="00806D0B"/>
    <w:rsid w:val="008075A9"/>
    <w:rsid w:val="00810F8D"/>
    <w:rsid w:val="00810F94"/>
    <w:rsid w:val="00811526"/>
    <w:rsid w:val="00812D17"/>
    <w:rsid w:val="00813DED"/>
    <w:rsid w:val="008140AD"/>
    <w:rsid w:val="00814404"/>
    <w:rsid w:val="00816237"/>
    <w:rsid w:val="00817446"/>
    <w:rsid w:val="008176DB"/>
    <w:rsid w:val="00817968"/>
    <w:rsid w:val="00817AFF"/>
    <w:rsid w:val="00817DB9"/>
    <w:rsid w:val="0082014F"/>
    <w:rsid w:val="00820FE5"/>
    <w:rsid w:val="008235D8"/>
    <w:rsid w:val="00823CE7"/>
    <w:rsid w:val="00823DF5"/>
    <w:rsid w:val="008242C6"/>
    <w:rsid w:val="00824D63"/>
    <w:rsid w:val="00827466"/>
    <w:rsid w:val="00827CBB"/>
    <w:rsid w:val="00831920"/>
    <w:rsid w:val="008325F6"/>
    <w:rsid w:val="0083649F"/>
    <w:rsid w:val="00836814"/>
    <w:rsid w:val="0083698A"/>
    <w:rsid w:val="00840695"/>
    <w:rsid w:val="00843737"/>
    <w:rsid w:val="00843977"/>
    <w:rsid w:val="00845EC8"/>
    <w:rsid w:val="0084626E"/>
    <w:rsid w:val="008474B7"/>
    <w:rsid w:val="00850BE3"/>
    <w:rsid w:val="0085149B"/>
    <w:rsid w:val="00851554"/>
    <w:rsid w:val="00852C46"/>
    <w:rsid w:val="00854CFD"/>
    <w:rsid w:val="0085508D"/>
    <w:rsid w:val="00855231"/>
    <w:rsid w:val="008553A4"/>
    <w:rsid w:val="008577E6"/>
    <w:rsid w:val="00860598"/>
    <w:rsid w:val="00861631"/>
    <w:rsid w:val="00861B27"/>
    <w:rsid w:val="00861CF0"/>
    <w:rsid w:val="008635BC"/>
    <w:rsid w:val="0086404F"/>
    <w:rsid w:val="00864206"/>
    <w:rsid w:val="0086436B"/>
    <w:rsid w:val="008643DF"/>
    <w:rsid w:val="00865618"/>
    <w:rsid w:val="0086624C"/>
    <w:rsid w:val="00866991"/>
    <w:rsid w:val="00866FB6"/>
    <w:rsid w:val="00870E8B"/>
    <w:rsid w:val="008714E2"/>
    <w:rsid w:val="008740F4"/>
    <w:rsid w:val="00874283"/>
    <w:rsid w:val="008748D2"/>
    <w:rsid w:val="0087498E"/>
    <w:rsid w:val="00874C11"/>
    <w:rsid w:val="00876745"/>
    <w:rsid w:val="00876A27"/>
    <w:rsid w:val="00877140"/>
    <w:rsid w:val="00877A07"/>
    <w:rsid w:val="008808C9"/>
    <w:rsid w:val="00882A2B"/>
    <w:rsid w:val="00883218"/>
    <w:rsid w:val="0088355A"/>
    <w:rsid w:val="008837E8"/>
    <w:rsid w:val="00883B95"/>
    <w:rsid w:val="008848AC"/>
    <w:rsid w:val="00884C71"/>
    <w:rsid w:val="00885159"/>
    <w:rsid w:val="00886744"/>
    <w:rsid w:val="00886B63"/>
    <w:rsid w:val="00890A34"/>
    <w:rsid w:val="00890BC4"/>
    <w:rsid w:val="00890E70"/>
    <w:rsid w:val="00891C81"/>
    <w:rsid w:val="008920BA"/>
    <w:rsid w:val="0089229B"/>
    <w:rsid w:val="008927D8"/>
    <w:rsid w:val="00893CEE"/>
    <w:rsid w:val="00894A46"/>
    <w:rsid w:val="008A0E24"/>
    <w:rsid w:val="008A0F70"/>
    <w:rsid w:val="008A1B54"/>
    <w:rsid w:val="008A2F3C"/>
    <w:rsid w:val="008A3D8E"/>
    <w:rsid w:val="008A4B76"/>
    <w:rsid w:val="008A56B2"/>
    <w:rsid w:val="008A5A94"/>
    <w:rsid w:val="008A619A"/>
    <w:rsid w:val="008A6239"/>
    <w:rsid w:val="008A6B0F"/>
    <w:rsid w:val="008B0488"/>
    <w:rsid w:val="008B2C52"/>
    <w:rsid w:val="008B33C1"/>
    <w:rsid w:val="008B354B"/>
    <w:rsid w:val="008B3677"/>
    <w:rsid w:val="008B3DD4"/>
    <w:rsid w:val="008B4E81"/>
    <w:rsid w:val="008B5EC0"/>
    <w:rsid w:val="008B65F6"/>
    <w:rsid w:val="008B6B44"/>
    <w:rsid w:val="008C098F"/>
    <w:rsid w:val="008C0CA0"/>
    <w:rsid w:val="008C1A97"/>
    <w:rsid w:val="008C1C30"/>
    <w:rsid w:val="008C36B6"/>
    <w:rsid w:val="008C3932"/>
    <w:rsid w:val="008C4335"/>
    <w:rsid w:val="008C443A"/>
    <w:rsid w:val="008C6278"/>
    <w:rsid w:val="008D0CE0"/>
    <w:rsid w:val="008D176F"/>
    <w:rsid w:val="008D30C6"/>
    <w:rsid w:val="008D57EE"/>
    <w:rsid w:val="008D596B"/>
    <w:rsid w:val="008D6271"/>
    <w:rsid w:val="008D7183"/>
    <w:rsid w:val="008E023C"/>
    <w:rsid w:val="008E05F8"/>
    <w:rsid w:val="008E2BDA"/>
    <w:rsid w:val="008E3314"/>
    <w:rsid w:val="008E3521"/>
    <w:rsid w:val="008E3EAE"/>
    <w:rsid w:val="008E5802"/>
    <w:rsid w:val="008E6325"/>
    <w:rsid w:val="008F2E68"/>
    <w:rsid w:val="008F311A"/>
    <w:rsid w:val="008F46BB"/>
    <w:rsid w:val="009007EB"/>
    <w:rsid w:val="00900C2F"/>
    <w:rsid w:val="00901104"/>
    <w:rsid w:val="00902467"/>
    <w:rsid w:val="0090283B"/>
    <w:rsid w:val="00902A7C"/>
    <w:rsid w:val="00902BBE"/>
    <w:rsid w:val="00902D16"/>
    <w:rsid w:val="009037FB"/>
    <w:rsid w:val="00903C50"/>
    <w:rsid w:val="00903F32"/>
    <w:rsid w:val="00904094"/>
    <w:rsid w:val="009065A3"/>
    <w:rsid w:val="0090683B"/>
    <w:rsid w:val="00907567"/>
    <w:rsid w:val="009077EA"/>
    <w:rsid w:val="00910EDA"/>
    <w:rsid w:val="0091162C"/>
    <w:rsid w:val="00911E67"/>
    <w:rsid w:val="009121AB"/>
    <w:rsid w:val="00913253"/>
    <w:rsid w:val="009134A3"/>
    <w:rsid w:val="009135F5"/>
    <w:rsid w:val="00913DE9"/>
    <w:rsid w:val="00915ACB"/>
    <w:rsid w:val="00916281"/>
    <w:rsid w:val="00916366"/>
    <w:rsid w:val="00916624"/>
    <w:rsid w:val="009170B5"/>
    <w:rsid w:val="00917420"/>
    <w:rsid w:val="00917FEF"/>
    <w:rsid w:val="009205F6"/>
    <w:rsid w:val="00921C6E"/>
    <w:rsid w:val="00922564"/>
    <w:rsid w:val="00922C65"/>
    <w:rsid w:val="00924F11"/>
    <w:rsid w:val="00925F43"/>
    <w:rsid w:val="009270EA"/>
    <w:rsid w:val="00930262"/>
    <w:rsid w:val="009313F9"/>
    <w:rsid w:val="00931AC2"/>
    <w:rsid w:val="00931E30"/>
    <w:rsid w:val="00935012"/>
    <w:rsid w:val="009352A9"/>
    <w:rsid w:val="009361D8"/>
    <w:rsid w:val="009365B5"/>
    <w:rsid w:val="00936DB8"/>
    <w:rsid w:val="00937414"/>
    <w:rsid w:val="00937D25"/>
    <w:rsid w:val="009424AE"/>
    <w:rsid w:val="00943BCD"/>
    <w:rsid w:val="00944AC4"/>
    <w:rsid w:val="00945D83"/>
    <w:rsid w:val="00946312"/>
    <w:rsid w:val="0094657F"/>
    <w:rsid w:val="00946BC7"/>
    <w:rsid w:val="0094782B"/>
    <w:rsid w:val="00947FDB"/>
    <w:rsid w:val="00950572"/>
    <w:rsid w:val="009526BF"/>
    <w:rsid w:val="00952CB3"/>
    <w:rsid w:val="00953BBE"/>
    <w:rsid w:val="00953C1C"/>
    <w:rsid w:val="00953E39"/>
    <w:rsid w:val="00954164"/>
    <w:rsid w:val="009552D5"/>
    <w:rsid w:val="00956152"/>
    <w:rsid w:val="009561E1"/>
    <w:rsid w:val="0095653D"/>
    <w:rsid w:val="009605B3"/>
    <w:rsid w:val="009605DA"/>
    <w:rsid w:val="00960AD3"/>
    <w:rsid w:val="00961501"/>
    <w:rsid w:val="009617E3"/>
    <w:rsid w:val="00962269"/>
    <w:rsid w:val="00962D72"/>
    <w:rsid w:val="0096355A"/>
    <w:rsid w:val="00963687"/>
    <w:rsid w:val="009642DC"/>
    <w:rsid w:val="0096447D"/>
    <w:rsid w:val="009649EF"/>
    <w:rsid w:val="00965C03"/>
    <w:rsid w:val="009668F1"/>
    <w:rsid w:val="00967987"/>
    <w:rsid w:val="00967EEA"/>
    <w:rsid w:val="00970072"/>
    <w:rsid w:val="00970107"/>
    <w:rsid w:val="00970566"/>
    <w:rsid w:val="00970B34"/>
    <w:rsid w:val="0097231B"/>
    <w:rsid w:val="00972F29"/>
    <w:rsid w:val="00975308"/>
    <w:rsid w:val="00976429"/>
    <w:rsid w:val="00976564"/>
    <w:rsid w:val="0097688B"/>
    <w:rsid w:val="009771A3"/>
    <w:rsid w:val="00977695"/>
    <w:rsid w:val="00980CBA"/>
    <w:rsid w:val="00980ED9"/>
    <w:rsid w:val="009813F5"/>
    <w:rsid w:val="009821B0"/>
    <w:rsid w:val="0098242A"/>
    <w:rsid w:val="009828DE"/>
    <w:rsid w:val="00982AB6"/>
    <w:rsid w:val="00982CF1"/>
    <w:rsid w:val="00982D26"/>
    <w:rsid w:val="00983278"/>
    <w:rsid w:val="0098353A"/>
    <w:rsid w:val="00984501"/>
    <w:rsid w:val="00985116"/>
    <w:rsid w:val="00986E22"/>
    <w:rsid w:val="00987AAD"/>
    <w:rsid w:val="00987ADD"/>
    <w:rsid w:val="0099053B"/>
    <w:rsid w:val="00991DDE"/>
    <w:rsid w:val="009939FF"/>
    <w:rsid w:val="009954FD"/>
    <w:rsid w:val="0099766A"/>
    <w:rsid w:val="009A09D9"/>
    <w:rsid w:val="009A2C5E"/>
    <w:rsid w:val="009A36B7"/>
    <w:rsid w:val="009A4B40"/>
    <w:rsid w:val="009A5083"/>
    <w:rsid w:val="009A5620"/>
    <w:rsid w:val="009A5C32"/>
    <w:rsid w:val="009A6AEA"/>
    <w:rsid w:val="009B0485"/>
    <w:rsid w:val="009B19D6"/>
    <w:rsid w:val="009B43EE"/>
    <w:rsid w:val="009B4822"/>
    <w:rsid w:val="009B50A3"/>
    <w:rsid w:val="009B581C"/>
    <w:rsid w:val="009B6E02"/>
    <w:rsid w:val="009B7D94"/>
    <w:rsid w:val="009C0B06"/>
    <w:rsid w:val="009C2E83"/>
    <w:rsid w:val="009C4126"/>
    <w:rsid w:val="009C4D36"/>
    <w:rsid w:val="009C5A66"/>
    <w:rsid w:val="009C61A9"/>
    <w:rsid w:val="009C62D6"/>
    <w:rsid w:val="009C670E"/>
    <w:rsid w:val="009C7B1C"/>
    <w:rsid w:val="009D15B7"/>
    <w:rsid w:val="009D2695"/>
    <w:rsid w:val="009D2D64"/>
    <w:rsid w:val="009D36A4"/>
    <w:rsid w:val="009D3C16"/>
    <w:rsid w:val="009D4ED8"/>
    <w:rsid w:val="009D5D40"/>
    <w:rsid w:val="009D5E52"/>
    <w:rsid w:val="009D679D"/>
    <w:rsid w:val="009D7D14"/>
    <w:rsid w:val="009E0982"/>
    <w:rsid w:val="009E1474"/>
    <w:rsid w:val="009E27DC"/>
    <w:rsid w:val="009E3086"/>
    <w:rsid w:val="009E3E73"/>
    <w:rsid w:val="009E40FE"/>
    <w:rsid w:val="009E445F"/>
    <w:rsid w:val="009E50C7"/>
    <w:rsid w:val="009E597D"/>
    <w:rsid w:val="009E5DB4"/>
    <w:rsid w:val="009E68B5"/>
    <w:rsid w:val="009E6CE0"/>
    <w:rsid w:val="009E7C85"/>
    <w:rsid w:val="009F1437"/>
    <w:rsid w:val="009F18F8"/>
    <w:rsid w:val="009F3CB2"/>
    <w:rsid w:val="009F3F9A"/>
    <w:rsid w:val="009F47A8"/>
    <w:rsid w:val="009F5377"/>
    <w:rsid w:val="009F5A60"/>
    <w:rsid w:val="009F6269"/>
    <w:rsid w:val="009F74A0"/>
    <w:rsid w:val="009F7766"/>
    <w:rsid w:val="009F7E5C"/>
    <w:rsid w:val="00A00DE0"/>
    <w:rsid w:val="00A0137A"/>
    <w:rsid w:val="00A0465B"/>
    <w:rsid w:val="00A04A3F"/>
    <w:rsid w:val="00A05E50"/>
    <w:rsid w:val="00A05F22"/>
    <w:rsid w:val="00A06989"/>
    <w:rsid w:val="00A06AB5"/>
    <w:rsid w:val="00A07007"/>
    <w:rsid w:val="00A108F0"/>
    <w:rsid w:val="00A11C2E"/>
    <w:rsid w:val="00A12023"/>
    <w:rsid w:val="00A1225D"/>
    <w:rsid w:val="00A12D48"/>
    <w:rsid w:val="00A13380"/>
    <w:rsid w:val="00A144A3"/>
    <w:rsid w:val="00A162A4"/>
    <w:rsid w:val="00A168ED"/>
    <w:rsid w:val="00A169C6"/>
    <w:rsid w:val="00A17072"/>
    <w:rsid w:val="00A17B57"/>
    <w:rsid w:val="00A2111A"/>
    <w:rsid w:val="00A219D7"/>
    <w:rsid w:val="00A21A71"/>
    <w:rsid w:val="00A2291A"/>
    <w:rsid w:val="00A249EF"/>
    <w:rsid w:val="00A24FCE"/>
    <w:rsid w:val="00A25E7C"/>
    <w:rsid w:val="00A265CA"/>
    <w:rsid w:val="00A30388"/>
    <w:rsid w:val="00A315B9"/>
    <w:rsid w:val="00A31841"/>
    <w:rsid w:val="00A31B68"/>
    <w:rsid w:val="00A3257A"/>
    <w:rsid w:val="00A329EE"/>
    <w:rsid w:val="00A32B29"/>
    <w:rsid w:val="00A33C7A"/>
    <w:rsid w:val="00A33E48"/>
    <w:rsid w:val="00A34AB1"/>
    <w:rsid w:val="00A3512C"/>
    <w:rsid w:val="00A36561"/>
    <w:rsid w:val="00A367FC"/>
    <w:rsid w:val="00A36892"/>
    <w:rsid w:val="00A37F75"/>
    <w:rsid w:val="00A400EF"/>
    <w:rsid w:val="00A402E0"/>
    <w:rsid w:val="00A429C4"/>
    <w:rsid w:val="00A441CE"/>
    <w:rsid w:val="00A46504"/>
    <w:rsid w:val="00A473F9"/>
    <w:rsid w:val="00A479F4"/>
    <w:rsid w:val="00A50D3D"/>
    <w:rsid w:val="00A51969"/>
    <w:rsid w:val="00A52647"/>
    <w:rsid w:val="00A5266E"/>
    <w:rsid w:val="00A537E3"/>
    <w:rsid w:val="00A53BF2"/>
    <w:rsid w:val="00A53D3F"/>
    <w:rsid w:val="00A549D0"/>
    <w:rsid w:val="00A55912"/>
    <w:rsid w:val="00A56862"/>
    <w:rsid w:val="00A57DA5"/>
    <w:rsid w:val="00A57F87"/>
    <w:rsid w:val="00A6009E"/>
    <w:rsid w:val="00A602C3"/>
    <w:rsid w:val="00A62033"/>
    <w:rsid w:val="00A626CF"/>
    <w:rsid w:val="00A62E69"/>
    <w:rsid w:val="00A633E9"/>
    <w:rsid w:val="00A638DA"/>
    <w:rsid w:val="00A64B9E"/>
    <w:rsid w:val="00A66385"/>
    <w:rsid w:val="00A663D6"/>
    <w:rsid w:val="00A66492"/>
    <w:rsid w:val="00A667DD"/>
    <w:rsid w:val="00A66CD1"/>
    <w:rsid w:val="00A66D22"/>
    <w:rsid w:val="00A67918"/>
    <w:rsid w:val="00A67B4F"/>
    <w:rsid w:val="00A67ECB"/>
    <w:rsid w:val="00A70BE2"/>
    <w:rsid w:val="00A70EA1"/>
    <w:rsid w:val="00A71507"/>
    <w:rsid w:val="00A71CCC"/>
    <w:rsid w:val="00A7250D"/>
    <w:rsid w:val="00A7253F"/>
    <w:rsid w:val="00A73290"/>
    <w:rsid w:val="00A73375"/>
    <w:rsid w:val="00A73713"/>
    <w:rsid w:val="00A744DB"/>
    <w:rsid w:val="00A7536D"/>
    <w:rsid w:val="00A75591"/>
    <w:rsid w:val="00A75A45"/>
    <w:rsid w:val="00A825EF"/>
    <w:rsid w:val="00A82A4A"/>
    <w:rsid w:val="00A82C54"/>
    <w:rsid w:val="00A857B3"/>
    <w:rsid w:val="00A85B30"/>
    <w:rsid w:val="00A85EB6"/>
    <w:rsid w:val="00A86589"/>
    <w:rsid w:val="00A87577"/>
    <w:rsid w:val="00A87FA8"/>
    <w:rsid w:val="00A87FF8"/>
    <w:rsid w:val="00A917D6"/>
    <w:rsid w:val="00A9303E"/>
    <w:rsid w:val="00A93237"/>
    <w:rsid w:val="00A93FE8"/>
    <w:rsid w:val="00A941FB"/>
    <w:rsid w:val="00A94D6D"/>
    <w:rsid w:val="00A9512D"/>
    <w:rsid w:val="00A95AA2"/>
    <w:rsid w:val="00A95E35"/>
    <w:rsid w:val="00A96381"/>
    <w:rsid w:val="00A96EEC"/>
    <w:rsid w:val="00A97714"/>
    <w:rsid w:val="00AA0D7F"/>
    <w:rsid w:val="00AA0EDB"/>
    <w:rsid w:val="00AA15F8"/>
    <w:rsid w:val="00AA1ED8"/>
    <w:rsid w:val="00AA21A6"/>
    <w:rsid w:val="00AA230F"/>
    <w:rsid w:val="00AA286F"/>
    <w:rsid w:val="00AA53AE"/>
    <w:rsid w:val="00AA560B"/>
    <w:rsid w:val="00AA5A2B"/>
    <w:rsid w:val="00AA71C3"/>
    <w:rsid w:val="00AB04F3"/>
    <w:rsid w:val="00AB1285"/>
    <w:rsid w:val="00AB2107"/>
    <w:rsid w:val="00AB2B16"/>
    <w:rsid w:val="00AB2DA6"/>
    <w:rsid w:val="00AB3624"/>
    <w:rsid w:val="00AB36FA"/>
    <w:rsid w:val="00AB56F8"/>
    <w:rsid w:val="00AB5DE7"/>
    <w:rsid w:val="00AB6681"/>
    <w:rsid w:val="00AB727F"/>
    <w:rsid w:val="00AB798C"/>
    <w:rsid w:val="00AC0E76"/>
    <w:rsid w:val="00AC186B"/>
    <w:rsid w:val="00AC1CF4"/>
    <w:rsid w:val="00AC314A"/>
    <w:rsid w:val="00AC31BB"/>
    <w:rsid w:val="00AC365B"/>
    <w:rsid w:val="00AC379B"/>
    <w:rsid w:val="00AC4EF4"/>
    <w:rsid w:val="00AC4FFC"/>
    <w:rsid w:val="00AC5C6E"/>
    <w:rsid w:val="00AC6607"/>
    <w:rsid w:val="00AC6B14"/>
    <w:rsid w:val="00AC7272"/>
    <w:rsid w:val="00AC7AC3"/>
    <w:rsid w:val="00AD0D57"/>
    <w:rsid w:val="00AD1823"/>
    <w:rsid w:val="00AD2631"/>
    <w:rsid w:val="00AD2B28"/>
    <w:rsid w:val="00AD2CE0"/>
    <w:rsid w:val="00AD39FA"/>
    <w:rsid w:val="00AD3A2D"/>
    <w:rsid w:val="00AD3DBC"/>
    <w:rsid w:val="00AD4B09"/>
    <w:rsid w:val="00AD4C9F"/>
    <w:rsid w:val="00AD50FD"/>
    <w:rsid w:val="00AD5226"/>
    <w:rsid w:val="00AD5367"/>
    <w:rsid w:val="00AD5386"/>
    <w:rsid w:val="00AD62A0"/>
    <w:rsid w:val="00AE0631"/>
    <w:rsid w:val="00AE18E1"/>
    <w:rsid w:val="00AE24F0"/>
    <w:rsid w:val="00AE2763"/>
    <w:rsid w:val="00AE2E28"/>
    <w:rsid w:val="00AE34F2"/>
    <w:rsid w:val="00AE3647"/>
    <w:rsid w:val="00AE37B5"/>
    <w:rsid w:val="00AE5651"/>
    <w:rsid w:val="00AE6250"/>
    <w:rsid w:val="00AE6505"/>
    <w:rsid w:val="00AE69AD"/>
    <w:rsid w:val="00AF0794"/>
    <w:rsid w:val="00AF08E9"/>
    <w:rsid w:val="00AF12CA"/>
    <w:rsid w:val="00AF130E"/>
    <w:rsid w:val="00AF1671"/>
    <w:rsid w:val="00AF2C01"/>
    <w:rsid w:val="00AF3479"/>
    <w:rsid w:val="00AF3C0B"/>
    <w:rsid w:val="00AF4099"/>
    <w:rsid w:val="00AF4FA8"/>
    <w:rsid w:val="00AF6EEE"/>
    <w:rsid w:val="00AF7A59"/>
    <w:rsid w:val="00B00922"/>
    <w:rsid w:val="00B02310"/>
    <w:rsid w:val="00B02EFC"/>
    <w:rsid w:val="00B05F86"/>
    <w:rsid w:val="00B063D8"/>
    <w:rsid w:val="00B1020D"/>
    <w:rsid w:val="00B102A0"/>
    <w:rsid w:val="00B10E99"/>
    <w:rsid w:val="00B1172E"/>
    <w:rsid w:val="00B11AD3"/>
    <w:rsid w:val="00B12783"/>
    <w:rsid w:val="00B12943"/>
    <w:rsid w:val="00B12F1A"/>
    <w:rsid w:val="00B14CE2"/>
    <w:rsid w:val="00B14D22"/>
    <w:rsid w:val="00B14E5B"/>
    <w:rsid w:val="00B14FB2"/>
    <w:rsid w:val="00B15368"/>
    <w:rsid w:val="00B15E43"/>
    <w:rsid w:val="00B16648"/>
    <w:rsid w:val="00B16872"/>
    <w:rsid w:val="00B16E37"/>
    <w:rsid w:val="00B17863"/>
    <w:rsid w:val="00B217C2"/>
    <w:rsid w:val="00B22788"/>
    <w:rsid w:val="00B227EF"/>
    <w:rsid w:val="00B235D5"/>
    <w:rsid w:val="00B23BC6"/>
    <w:rsid w:val="00B2433B"/>
    <w:rsid w:val="00B2551D"/>
    <w:rsid w:val="00B25659"/>
    <w:rsid w:val="00B25ECB"/>
    <w:rsid w:val="00B305D6"/>
    <w:rsid w:val="00B30BDB"/>
    <w:rsid w:val="00B318DC"/>
    <w:rsid w:val="00B31C93"/>
    <w:rsid w:val="00B342EC"/>
    <w:rsid w:val="00B34611"/>
    <w:rsid w:val="00B34889"/>
    <w:rsid w:val="00B352DB"/>
    <w:rsid w:val="00B35DFD"/>
    <w:rsid w:val="00B36116"/>
    <w:rsid w:val="00B363A0"/>
    <w:rsid w:val="00B373DF"/>
    <w:rsid w:val="00B40CB1"/>
    <w:rsid w:val="00B41FA9"/>
    <w:rsid w:val="00B429AF"/>
    <w:rsid w:val="00B42A79"/>
    <w:rsid w:val="00B4301E"/>
    <w:rsid w:val="00B436E5"/>
    <w:rsid w:val="00B44236"/>
    <w:rsid w:val="00B46CFF"/>
    <w:rsid w:val="00B46D31"/>
    <w:rsid w:val="00B47084"/>
    <w:rsid w:val="00B534DC"/>
    <w:rsid w:val="00B53A41"/>
    <w:rsid w:val="00B557FD"/>
    <w:rsid w:val="00B55C58"/>
    <w:rsid w:val="00B574C2"/>
    <w:rsid w:val="00B61D55"/>
    <w:rsid w:val="00B62AE4"/>
    <w:rsid w:val="00B63A4C"/>
    <w:rsid w:val="00B64F4E"/>
    <w:rsid w:val="00B660B2"/>
    <w:rsid w:val="00B66601"/>
    <w:rsid w:val="00B6723C"/>
    <w:rsid w:val="00B67722"/>
    <w:rsid w:val="00B67A22"/>
    <w:rsid w:val="00B700A1"/>
    <w:rsid w:val="00B70248"/>
    <w:rsid w:val="00B7101A"/>
    <w:rsid w:val="00B719A0"/>
    <w:rsid w:val="00B7211A"/>
    <w:rsid w:val="00B7360B"/>
    <w:rsid w:val="00B73C7A"/>
    <w:rsid w:val="00B74239"/>
    <w:rsid w:val="00B751CA"/>
    <w:rsid w:val="00B7542A"/>
    <w:rsid w:val="00B754C7"/>
    <w:rsid w:val="00B75F5A"/>
    <w:rsid w:val="00B7729E"/>
    <w:rsid w:val="00B774FF"/>
    <w:rsid w:val="00B806CD"/>
    <w:rsid w:val="00B83142"/>
    <w:rsid w:val="00B83442"/>
    <w:rsid w:val="00B84AF1"/>
    <w:rsid w:val="00B84B9F"/>
    <w:rsid w:val="00B85001"/>
    <w:rsid w:val="00B860A0"/>
    <w:rsid w:val="00B862FF"/>
    <w:rsid w:val="00B8642F"/>
    <w:rsid w:val="00B86636"/>
    <w:rsid w:val="00B87C29"/>
    <w:rsid w:val="00B92034"/>
    <w:rsid w:val="00B935E7"/>
    <w:rsid w:val="00B93930"/>
    <w:rsid w:val="00B93C32"/>
    <w:rsid w:val="00B942C2"/>
    <w:rsid w:val="00B965DC"/>
    <w:rsid w:val="00B969E3"/>
    <w:rsid w:val="00B97143"/>
    <w:rsid w:val="00B9736D"/>
    <w:rsid w:val="00BA0869"/>
    <w:rsid w:val="00BA0AEA"/>
    <w:rsid w:val="00BA154D"/>
    <w:rsid w:val="00BA2887"/>
    <w:rsid w:val="00BA2CAF"/>
    <w:rsid w:val="00BA3D96"/>
    <w:rsid w:val="00BA3ECC"/>
    <w:rsid w:val="00BA3F0D"/>
    <w:rsid w:val="00BA463E"/>
    <w:rsid w:val="00BA4E49"/>
    <w:rsid w:val="00BA57D1"/>
    <w:rsid w:val="00BA5968"/>
    <w:rsid w:val="00BA6625"/>
    <w:rsid w:val="00BA6887"/>
    <w:rsid w:val="00BB0A97"/>
    <w:rsid w:val="00BB1162"/>
    <w:rsid w:val="00BB17C3"/>
    <w:rsid w:val="00BB1A46"/>
    <w:rsid w:val="00BB30C9"/>
    <w:rsid w:val="00BB3B27"/>
    <w:rsid w:val="00BB3BD2"/>
    <w:rsid w:val="00BB445F"/>
    <w:rsid w:val="00BB4FBF"/>
    <w:rsid w:val="00BB6DFF"/>
    <w:rsid w:val="00BB7E60"/>
    <w:rsid w:val="00BC10E9"/>
    <w:rsid w:val="00BC24B7"/>
    <w:rsid w:val="00BC3FEE"/>
    <w:rsid w:val="00BC50C0"/>
    <w:rsid w:val="00BC5B62"/>
    <w:rsid w:val="00BC6C0F"/>
    <w:rsid w:val="00BD014F"/>
    <w:rsid w:val="00BD0B38"/>
    <w:rsid w:val="00BD0FA7"/>
    <w:rsid w:val="00BD21F2"/>
    <w:rsid w:val="00BD2495"/>
    <w:rsid w:val="00BD26E3"/>
    <w:rsid w:val="00BD378C"/>
    <w:rsid w:val="00BD4921"/>
    <w:rsid w:val="00BD50D3"/>
    <w:rsid w:val="00BD5561"/>
    <w:rsid w:val="00BD7418"/>
    <w:rsid w:val="00BD7D4F"/>
    <w:rsid w:val="00BE122C"/>
    <w:rsid w:val="00BE1845"/>
    <w:rsid w:val="00BE2BF4"/>
    <w:rsid w:val="00BE2D00"/>
    <w:rsid w:val="00BE2EB2"/>
    <w:rsid w:val="00BE347B"/>
    <w:rsid w:val="00BE5181"/>
    <w:rsid w:val="00BE54B8"/>
    <w:rsid w:val="00BE5EFE"/>
    <w:rsid w:val="00BE7899"/>
    <w:rsid w:val="00BF043E"/>
    <w:rsid w:val="00BF0D92"/>
    <w:rsid w:val="00BF1156"/>
    <w:rsid w:val="00BF13AA"/>
    <w:rsid w:val="00BF1684"/>
    <w:rsid w:val="00BF2356"/>
    <w:rsid w:val="00BF33BD"/>
    <w:rsid w:val="00BF3C20"/>
    <w:rsid w:val="00BF3DD6"/>
    <w:rsid w:val="00BF467C"/>
    <w:rsid w:val="00BF4739"/>
    <w:rsid w:val="00BF4810"/>
    <w:rsid w:val="00BF4826"/>
    <w:rsid w:val="00BF54E4"/>
    <w:rsid w:val="00BF5C18"/>
    <w:rsid w:val="00BF5C43"/>
    <w:rsid w:val="00BF67F5"/>
    <w:rsid w:val="00BF7713"/>
    <w:rsid w:val="00C00721"/>
    <w:rsid w:val="00C00802"/>
    <w:rsid w:val="00C00A00"/>
    <w:rsid w:val="00C00F7D"/>
    <w:rsid w:val="00C012D0"/>
    <w:rsid w:val="00C015DE"/>
    <w:rsid w:val="00C01FAE"/>
    <w:rsid w:val="00C025ED"/>
    <w:rsid w:val="00C02D30"/>
    <w:rsid w:val="00C038A7"/>
    <w:rsid w:val="00C04731"/>
    <w:rsid w:val="00C04F21"/>
    <w:rsid w:val="00C05251"/>
    <w:rsid w:val="00C0594F"/>
    <w:rsid w:val="00C062E5"/>
    <w:rsid w:val="00C06DC5"/>
    <w:rsid w:val="00C10021"/>
    <w:rsid w:val="00C103D5"/>
    <w:rsid w:val="00C12917"/>
    <w:rsid w:val="00C14217"/>
    <w:rsid w:val="00C1475D"/>
    <w:rsid w:val="00C15192"/>
    <w:rsid w:val="00C153FD"/>
    <w:rsid w:val="00C15A77"/>
    <w:rsid w:val="00C15FDB"/>
    <w:rsid w:val="00C16FBB"/>
    <w:rsid w:val="00C207FE"/>
    <w:rsid w:val="00C21CDA"/>
    <w:rsid w:val="00C22482"/>
    <w:rsid w:val="00C2259F"/>
    <w:rsid w:val="00C23377"/>
    <w:rsid w:val="00C243AB"/>
    <w:rsid w:val="00C25521"/>
    <w:rsid w:val="00C262FC"/>
    <w:rsid w:val="00C2665F"/>
    <w:rsid w:val="00C268C6"/>
    <w:rsid w:val="00C273B3"/>
    <w:rsid w:val="00C2773E"/>
    <w:rsid w:val="00C314D1"/>
    <w:rsid w:val="00C32029"/>
    <w:rsid w:val="00C33400"/>
    <w:rsid w:val="00C34067"/>
    <w:rsid w:val="00C345A3"/>
    <w:rsid w:val="00C34A08"/>
    <w:rsid w:val="00C34DF3"/>
    <w:rsid w:val="00C34DFF"/>
    <w:rsid w:val="00C355C0"/>
    <w:rsid w:val="00C3598C"/>
    <w:rsid w:val="00C35EA9"/>
    <w:rsid w:val="00C362D4"/>
    <w:rsid w:val="00C36AF5"/>
    <w:rsid w:val="00C36EC5"/>
    <w:rsid w:val="00C40843"/>
    <w:rsid w:val="00C40C4B"/>
    <w:rsid w:val="00C42D66"/>
    <w:rsid w:val="00C44633"/>
    <w:rsid w:val="00C453D9"/>
    <w:rsid w:val="00C457B2"/>
    <w:rsid w:val="00C45EE6"/>
    <w:rsid w:val="00C46373"/>
    <w:rsid w:val="00C46912"/>
    <w:rsid w:val="00C46D9B"/>
    <w:rsid w:val="00C46F44"/>
    <w:rsid w:val="00C47F91"/>
    <w:rsid w:val="00C5162B"/>
    <w:rsid w:val="00C568A3"/>
    <w:rsid w:val="00C57539"/>
    <w:rsid w:val="00C5759C"/>
    <w:rsid w:val="00C5770B"/>
    <w:rsid w:val="00C600F1"/>
    <w:rsid w:val="00C60C12"/>
    <w:rsid w:val="00C61915"/>
    <w:rsid w:val="00C634FC"/>
    <w:rsid w:val="00C64536"/>
    <w:rsid w:val="00C65961"/>
    <w:rsid w:val="00C65F2C"/>
    <w:rsid w:val="00C668EB"/>
    <w:rsid w:val="00C70007"/>
    <w:rsid w:val="00C702A9"/>
    <w:rsid w:val="00C707D8"/>
    <w:rsid w:val="00C70F37"/>
    <w:rsid w:val="00C726D8"/>
    <w:rsid w:val="00C72E08"/>
    <w:rsid w:val="00C72F44"/>
    <w:rsid w:val="00C72FF1"/>
    <w:rsid w:val="00C74C25"/>
    <w:rsid w:val="00C75638"/>
    <w:rsid w:val="00C76E5A"/>
    <w:rsid w:val="00C773F3"/>
    <w:rsid w:val="00C77596"/>
    <w:rsid w:val="00C77D17"/>
    <w:rsid w:val="00C81181"/>
    <w:rsid w:val="00C81198"/>
    <w:rsid w:val="00C820FC"/>
    <w:rsid w:val="00C82508"/>
    <w:rsid w:val="00C83319"/>
    <w:rsid w:val="00C839D1"/>
    <w:rsid w:val="00C8457E"/>
    <w:rsid w:val="00C845EA"/>
    <w:rsid w:val="00C86D4C"/>
    <w:rsid w:val="00C870FB"/>
    <w:rsid w:val="00C87E2A"/>
    <w:rsid w:val="00C92573"/>
    <w:rsid w:val="00C9300C"/>
    <w:rsid w:val="00C937D6"/>
    <w:rsid w:val="00C9433F"/>
    <w:rsid w:val="00C963F1"/>
    <w:rsid w:val="00C9673E"/>
    <w:rsid w:val="00C971CF"/>
    <w:rsid w:val="00C97404"/>
    <w:rsid w:val="00C975F8"/>
    <w:rsid w:val="00C97981"/>
    <w:rsid w:val="00C97B35"/>
    <w:rsid w:val="00C97B82"/>
    <w:rsid w:val="00CA01F4"/>
    <w:rsid w:val="00CA10DF"/>
    <w:rsid w:val="00CA1726"/>
    <w:rsid w:val="00CA39CB"/>
    <w:rsid w:val="00CA3A03"/>
    <w:rsid w:val="00CA4543"/>
    <w:rsid w:val="00CA5556"/>
    <w:rsid w:val="00CA5F45"/>
    <w:rsid w:val="00CA62D3"/>
    <w:rsid w:val="00CA6374"/>
    <w:rsid w:val="00CA64E8"/>
    <w:rsid w:val="00CA6624"/>
    <w:rsid w:val="00CA7C8B"/>
    <w:rsid w:val="00CA7F8F"/>
    <w:rsid w:val="00CB0009"/>
    <w:rsid w:val="00CB04AF"/>
    <w:rsid w:val="00CB0627"/>
    <w:rsid w:val="00CB3AD6"/>
    <w:rsid w:val="00CB41B5"/>
    <w:rsid w:val="00CB70FF"/>
    <w:rsid w:val="00CC2A02"/>
    <w:rsid w:val="00CC3962"/>
    <w:rsid w:val="00CC41D9"/>
    <w:rsid w:val="00CC4A1E"/>
    <w:rsid w:val="00CC6AB4"/>
    <w:rsid w:val="00CD04A5"/>
    <w:rsid w:val="00CD07C8"/>
    <w:rsid w:val="00CD0E3D"/>
    <w:rsid w:val="00CD0EA9"/>
    <w:rsid w:val="00CD137A"/>
    <w:rsid w:val="00CD3398"/>
    <w:rsid w:val="00CD37A7"/>
    <w:rsid w:val="00CD41B8"/>
    <w:rsid w:val="00CD4604"/>
    <w:rsid w:val="00CD5673"/>
    <w:rsid w:val="00CD5B68"/>
    <w:rsid w:val="00CD70AA"/>
    <w:rsid w:val="00CD7E73"/>
    <w:rsid w:val="00CE019D"/>
    <w:rsid w:val="00CE0F4B"/>
    <w:rsid w:val="00CE1743"/>
    <w:rsid w:val="00CE1786"/>
    <w:rsid w:val="00CE283B"/>
    <w:rsid w:val="00CE2971"/>
    <w:rsid w:val="00CE2BB8"/>
    <w:rsid w:val="00CE4AA8"/>
    <w:rsid w:val="00CE5200"/>
    <w:rsid w:val="00CE5464"/>
    <w:rsid w:val="00CE55F3"/>
    <w:rsid w:val="00CE574E"/>
    <w:rsid w:val="00CE5B80"/>
    <w:rsid w:val="00CE6997"/>
    <w:rsid w:val="00CE6B3A"/>
    <w:rsid w:val="00CE7E69"/>
    <w:rsid w:val="00CF141D"/>
    <w:rsid w:val="00CF162D"/>
    <w:rsid w:val="00CF1CA9"/>
    <w:rsid w:val="00CF2E02"/>
    <w:rsid w:val="00CF3BF5"/>
    <w:rsid w:val="00CF4CC2"/>
    <w:rsid w:val="00CF5198"/>
    <w:rsid w:val="00CF6510"/>
    <w:rsid w:val="00CF65B9"/>
    <w:rsid w:val="00D008F4"/>
    <w:rsid w:val="00D00EC7"/>
    <w:rsid w:val="00D032A0"/>
    <w:rsid w:val="00D035E5"/>
    <w:rsid w:val="00D04CBB"/>
    <w:rsid w:val="00D05BA9"/>
    <w:rsid w:val="00D0650D"/>
    <w:rsid w:val="00D07047"/>
    <w:rsid w:val="00D07317"/>
    <w:rsid w:val="00D07C79"/>
    <w:rsid w:val="00D10D8A"/>
    <w:rsid w:val="00D10DBB"/>
    <w:rsid w:val="00D10ED7"/>
    <w:rsid w:val="00D132AF"/>
    <w:rsid w:val="00D13931"/>
    <w:rsid w:val="00D15EFF"/>
    <w:rsid w:val="00D17B8E"/>
    <w:rsid w:val="00D20BAE"/>
    <w:rsid w:val="00D20CCA"/>
    <w:rsid w:val="00D21364"/>
    <w:rsid w:val="00D21A5E"/>
    <w:rsid w:val="00D22B9D"/>
    <w:rsid w:val="00D24F34"/>
    <w:rsid w:val="00D25661"/>
    <w:rsid w:val="00D2635C"/>
    <w:rsid w:val="00D2682A"/>
    <w:rsid w:val="00D30BC4"/>
    <w:rsid w:val="00D32828"/>
    <w:rsid w:val="00D32B90"/>
    <w:rsid w:val="00D339D2"/>
    <w:rsid w:val="00D34ABE"/>
    <w:rsid w:val="00D35ABE"/>
    <w:rsid w:val="00D36579"/>
    <w:rsid w:val="00D371EE"/>
    <w:rsid w:val="00D37588"/>
    <w:rsid w:val="00D40AF3"/>
    <w:rsid w:val="00D4100E"/>
    <w:rsid w:val="00D415F4"/>
    <w:rsid w:val="00D41E07"/>
    <w:rsid w:val="00D41F2A"/>
    <w:rsid w:val="00D41FC7"/>
    <w:rsid w:val="00D42E24"/>
    <w:rsid w:val="00D43B97"/>
    <w:rsid w:val="00D44641"/>
    <w:rsid w:val="00D45BE5"/>
    <w:rsid w:val="00D45C40"/>
    <w:rsid w:val="00D460E3"/>
    <w:rsid w:val="00D47011"/>
    <w:rsid w:val="00D47916"/>
    <w:rsid w:val="00D47B5F"/>
    <w:rsid w:val="00D47E81"/>
    <w:rsid w:val="00D5001B"/>
    <w:rsid w:val="00D50551"/>
    <w:rsid w:val="00D50D0A"/>
    <w:rsid w:val="00D50F21"/>
    <w:rsid w:val="00D510DF"/>
    <w:rsid w:val="00D5148B"/>
    <w:rsid w:val="00D51982"/>
    <w:rsid w:val="00D51BDB"/>
    <w:rsid w:val="00D51D0C"/>
    <w:rsid w:val="00D533D5"/>
    <w:rsid w:val="00D53D88"/>
    <w:rsid w:val="00D549B2"/>
    <w:rsid w:val="00D54D06"/>
    <w:rsid w:val="00D54D6B"/>
    <w:rsid w:val="00D57098"/>
    <w:rsid w:val="00D57134"/>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57EE"/>
    <w:rsid w:val="00D769D5"/>
    <w:rsid w:val="00D804AF"/>
    <w:rsid w:val="00D80970"/>
    <w:rsid w:val="00D82005"/>
    <w:rsid w:val="00D82249"/>
    <w:rsid w:val="00D83923"/>
    <w:rsid w:val="00D85C23"/>
    <w:rsid w:val="00D86845"/>
    <w:rsid w:val="00D86E20"/>
    <w:rsid w:val="00D872CB"/>
    <w:rsid w:val="00D875DA"/>
    <w:rsid w:val="00D87CD9"/>
    <w:rsid w:val="00D87E8C"/>
    <w:rsid w:val="00D90E10"/>
    <w:rsid w:val="00D94751"/>
    <w:rsid w:val="00D951C0"/>
    <w:rsid w:val="00D956B5"/>
    <w:rsid w:val="00D968E4"/>
    <w:rsid w:val="00D96970"/>
    <w:rsid w:val="00D96C55"/>
    <w:rsid w:val="00D96DD9"/>
    <w:rsid w:val="00D97494"/>
    <w:rsid w:val="00DA096A"/>
    <w:rsid w:val="00DA0BBC"/>
    <w:rsid w:val="00DA0E41"/>
    <w:rsid w:val="00DA0F17"/>
    <w:rsid w:val="00DA19BE"/>
    <w:rsid w:val="00DA40C1"/>
    <w:rsid w:val="00DA4DF6"/>
    <w:rsid w:val="00DA4FA3"/>
    <w:rsid w:val="00DA513C"/>
    <w:rsid w:val="00DA5541"/>
    <w:rsid w:val="00DA5D57"/>
    <w:rsid w:val="00DA735E"/>
    <w:rsid w:val="00DA7612"/>
    <w:rsid w:val="00DA7FE0"/>
    <w:rsid w:val="00DB1AA7"/>
    <w:rsid w:val="00DB1E91"/>
    <w:rsid w:val="00DB4A94"/>
    <w:rsid w:val="00DB552D"/>
    <w:rsid w:val="00DB5920"/>
    <w:rsid w:val="00DB5A5F"/>
    <w:rsid w:val="00DB7314"/>
    <w:rsid w:val="00DC0385"/>
    <w:rsid w:val="00DC0E97"/>
    <w:rsid w:val="00DC1878"/>
    <w:rsid w:val="00DC203D"/>
    <w:rsid w:val="00DC61E3"/>
    <w:rsid w:val="00DC6710"/>
    <w:rsid w:val="00DC73F7"/>
    <w:rsid w:val="00DC75CB"/>
    <w:rsid w:val="00DC7FCC"/>
    <w:rsid w:val="00DD04D8"/>
    <w:rsid w:val="00DD0C45"/>
    <w:rsid w:val="00DD2D4C"/>
    <w:rsid w:val="00DD35FE"/>
    <w:rsid w:val="00DD52EE"/>
    <w:rsid w:val="00DD59D1"/>
    <w:rsid w:val="00DD5CEF"/>
    <w:rsid w:val="00DD706D"/>
    <w:rsid w:val="00DD72A3"/>
    <w:rsid w:val="00DD7849"/>
    <w:rsid w:val="00DD7BA9"/>
    <w:rsid w:val="00DD7E2D"/>
    <w:rsid w:val="00DE0303"/>
    <w:rsid w:val="00DE124A"/>
    <w:rsid w:val="00DE1303"/>
    <w:rsid w:val="00DE2EA9"/>
    <w:rsid w:val="00DE3742"/>
    <w:rsid w:val="00DE3E65"/>
    <w:rsid w:val="00DE536A"/>
    <w:rsid w:val="00DE54AB"/>
    <w:rsid w:val="00DE5CA1"/>
    <w:rsid w:val="00DE5DD2"/>
    <w:rsid w:val="00DE6A8A"/>
    <w:rsid w:val="00DE6E5C"/>
    <w:rsid w:val="00DE7823"/>
    <w:rsid w:val="00DE7ED5"/>
    <w:rsid w:val="00DF0405"/>
    <w:rsid w:val="00DF059B"/>
    <w:rsid w:val="00DF0D51"/>
    <w:rsid w:val="00DF11A4"/>
    <w:rsid w:val="00DF1224"/>
    <w:rsid w:val="00DF1459"/>
    <w:rsid w:val="00DF198B"/>
    <w:rsid w:val="00DF27D9"/>
    <w:rsid w:val="00DF2ED4"/>
    <w:rsid w:val="00DF2FE1"/>
    <w:rsid w:val="00DF374F"/>
    <w:rsid w:val="00DF451D"/>
    <w:rsid w:val="00DF4E8A"/>
    <w:rsid w:val="00DF6087"/>
    <w:rsid w:val="00DF6315"/>
    <w:rsid w:val="00DF6A9A"/>
    <w:rsid w:val="00DF7362"/>
    <w:rsid w:val="00DF7760"/>
    <w:rsid w:val="00DF7BBD"/>
    <w:rsid w:val="00DF7C68"/>
    <w:rsid w:val="00E01C94"/>
    <w:rsid w:val="00E02577"/>
    <w:rsid w:val="00E02D56"/>
    <w:rsid w:val="00E03E4A"/>
    <w:rsid w:val="00E04D9A"/>
    <w:rsid w:val="00E053B3"/>
    <w:rsid w:val="00E063E1"/>
    <w:rsid w:val="00E07CD8"/>
    <w:rsid w:val="00E104FE"/>
    <w:rsid w:val="00E10FEF"/>
    <w:rsid w:val="00E1262F"/>
    <w:rsid w:val="00E12E9A"/>
    <w:rsid w:val="00E13063"/>
    <w:rsid w:val="00E13E11"/>
    <w:rsid w:val="00E13E49"/>
    <w:rsid w:val="00E14B23"/>
    <w:rsid w:val="00E153F1"/>
    <w:rsid w:val="00E17080"/>
    <w:rsid w:val="00E17829"/>
    <w:rsid w:val="00E17F27"/>
    <w:rsid w:val="00E2005C"/>
    <w:rsid w:val="00E203A7"/>
    <w:rsid w:val="00E20512"/>
    <w:rsid w:val="00E20F37"/>
    <w:rsid w:val="00E21F2B"/>
    <w:rsid w:val="00E22BC2"/>
    <w:rsid w:val="00E23095"/>
    <w:rsid w:val="00E23459"/>
    <w:rsid w:val="00E23962"/>
    <w:rsid w:val="00E25BEA"/>
    <w:rsid w:val="00E263E6"/>
    <w:rsid w:val="00E276C4"/>
    <w:rsid w:val="00E277D6"/>
    <w:rsid w:val="00E27E03"/>
    <w:rsid w:val="00E30C41"/>
    <w:rsid w:val="00E32ED3"/>
    <w:rsid w:val="00E33221"/>
    <w:rsid w:val="00E34D81"/>
    <w:rsid w:val="00E352A0"/>
    <w:rsid w:val="00E355D3"/>
    <w:rsid w:val="00E35FF0"/>
    <w:rsid w:val="00E3729F"/>
    <w:rsid w:val="00E40D7E"/>
    <w:rsid w:val="00E42CC9"/>
    <w:rsid w:val="00E433A7"/>
    <w:rsid w:val="00E4396F"/>
    <w:rsid w:val="00E43E01"/>
    <w:rsid w:val="00E43F30"/>
    <w:rsid w:val="00E4576E"/>
    <w:rsid w:val="00E5037E"/>
    <w:rsid w:val="00E5063A"/>
    <w:rsid w:val="00E50AB6"/>
    <w:rsid w:val="00E517D4"/>
    <w:rsid w:val="00E522FF"/>
    <w:rsid w:val="00E52CC6"/>
    <w:rsid w:val="00E537F7"/>
    <w:rsid w:val="00E54190"/>
    <w:rsid w:val="00E5558E"/>
    <w:rsid w:val="00E5604E"/>
    <w:rsid w:val="00E560FE"/>
    <w:rsid w:val="00E56842"/>
    <w:rsid w:val="00E56A2D"/>
    <w:rsid w:val="00E571F2"/>
    <w:rsid w:val="00E57EBF"/>
    <w:rsid w:val="00E603F2"/>
    <w:rsid w:val="00E60A22"/>
    <w:rsid w:val="00E6168A"/>
    <w:rsid w:val="00E62D71"/>
    <w:rsid w:val="00E63C28"/>
    <w:rsid w:val="00E647CA"/>
    <w:rsid w:val="00E64F71"/>
    <w:rsid w:val="00E6506D"/>
    <w:rsid w:val="00E67784"/>
    <w:rsid w:val="00E70664"/>
    <w:rsid w:val="00E70C0D"/>
    <w:rsid w:val="00E712BF"/>
    <w:rsid w:val="00E715D9"/>
    <w:rsid w:val="00E7193E"/>
    <w:rsid w:val="00E721F5"/>
    <w:rsid w:val="00E7269C"/>
    <w:rsid w:val="00E7290F"/>
    <w:rsid w:val="00E72D6D"/>
    <w:rsid w:val="00E7342A"/>
    <w:rsid w:val="00E73549"/>
    <w:rsid w:val="00E752E3"/>
    <w:rsid w:val="00E7676C"/>
    <w:rsid w:val="00E76862"/>
    <w:rsid w:val="00E76912"/>
    <w:rsid w:val="00E76CD1"/>
    <w:rsid w:val="00E80181"/>
    <w:rsid w:val="00E82DA8"/>
    <w:rsid w:val="00E83151"/>
    <w:rsid w:val="00E8352E"/>
    <w:rsid w:val="00E83727"/>
    <w:rsid w:val="00E83BEF"/>
    <w:rsid w:val="00E83CF5"/>
    <w:rsid w:val="00E84822"/>
    <w:rsid w:val="00E84AD2"/>
    <w:rsid w:val="00E853E2"/>
    <w:rsid w:val="00E853FE"/>
    <w:rsid w:val="00E85484"/>
    <w:rsid w:val="00E855BC"/>
    <w:rsid w:val="00E85C98"/>
    <w:rsid w:val="00E85F05"/>
    <w:rsid w:val="00E86572"/>
    <w:rsid w:val="00E904D7"/>
    <w:rsid w:val="00E91289"/>
    <w:rsid w:val="00E91810"/>
    <w:rsid w:val="00E93951"/>
    <w:rsid w:val="00E94891"/>
    <w:rsid w:val="00E94AF4"/>
    <w:rsid w:val="00E94F4D"/>
    <w:rsid w:val="00E953DF"/>
    <w:rsid w:val="00E95E84"/>
    <w:rsid w:val="00E96730"/>
    <w:rsid w:val="00E96E30"/>
    <w:rsid w:val="00E96F61"/>
    <w:rsid w:val="00E974DB"/>
    <w:rsid w:val="00E97845"/>
    <w:rsid w:val="00E97EAD"/>
    <w:rsid w:val="00EA1EC6"/>
    <w:rsid w:val="00EA3D1E"/>
    <w:rsid w:val="00EA44A6"/>
    <w:rsid w:val="00EA5322"/>
    <w:rsid w:val="00EA6BCD"/>
    <w:rsid w:val="00EB0176"/>
    <w:rsid w:val="00EB1273"/>
    <w:rsid w:val="00EB16F2"/>
    <w:rsid w:val="00EB2FAE"/>
    <w:rsid w:val="00EB3103"/>
    <w:rsid w:val="00EB34B2"/>
    <w:rsid w:val="00EB374D"/>
    <w:rsid w:val="00EB4268"/>
    <w:rsid w:val="00EB4AF5"/>
    <w:rsid w:val="00EB5382"/>
    <w:rsid w:val="00EB5A07"/>
    <w:rsid w:val="00EB6528"/>
    <w:rsid w:val="00EB6B3E"/>
    <w:rsid w:val="00EC3596"/>
    <w:rsid w:val="00EC393A"/>
    <w:rsid w:val="00EC3B11"/>
    <w:rsid w:val="00EC3CAB"/>
    <w:rsid w:val="00EC4AEA"/>
    <w:rsid w:val="00EC4D79"/>
    <w:rsid w:val="00EC4F1E"/>
    <w:rsid w:val="00EC584A"/>
    <w:rsid w:val="00EC6516"/>
    <w:rsid w:val="00EC724A"/>
    <w:rsid w:val="00ED017C"/>
    <w:rsid w:val="00ED0C77"/>
    <w:rsid w:val="00ED0F99"/>
    <w:rsid w:val="00ED1BDD"/>
    <w:rsid w:val="00ED2626"/>
    <w:rsid w:val="00ED2CF4"/>
    <w:rsid w:val="00ED3BBE"/>
    <w:rsid w:val="00ED414F"/>
    <w:rsid w:val="00ED41CE"/>
    <w:rsid w:val="00ED65DD"/>
    <w:rsid w:val="00EE02F5"/>
    <w:rsid w:val="00EE0CBF"/>
    <w:rsid w:val="00EE0FA1"/>
    <w:rsid w:val="00EE15EF"/>
    <w:rsid w:val="00EE178A"/>
    <w:rsid w:val="00EE1CE1"/>
    <w:rsid w:val="00EE251D"/>
    <w:rsid w:val="00EE255A"/>
    <w:rsid w:val="00EE3CCF"/>
    <w:rsid w:val="00EE3D95"/>
    <w:rsid w:val="00EE3E04"/>
    <w:rsid w:val="00EE4184"/>
    <w:rsid w:val="00EE42BD"/>
    <w:rsid w:val="00EE50BE"/>
    <w:rsid w:val="00EE6056"/>
    <w:rsid w:val="00EE640E"/>
    <w:rsid w:val="00EE644C"/>
    <w:rsid w:val="00EE754B"/>
    <w:rsid w:val="00EE7D33"/>
    <w:rsid w:val="00EF0C63"/>
    <w:rsid w:val="00EF191B"/>
    <w:rsid w:val="00EF1A35"/>
    <w:rsid w:val="00EF37BD"/>
    <w:rsid w:val="00EF39AA"/>
    <w:rsid w:val="00EF5286"/>
    <w:rsid w:val="00EF5B68"/>
    <w:rsid w:val="00EF629E"/>
    <w:rsid w:val="00EF6B11"/>
    <w:rsid w:val="00EF71C7"/>
    <w:rsid w:val="00EF741C"/>
    <w:rsid w:val="00F006C3"/>
    <w:rsid w:val="00F007B6"/>
    <w:rsid w:val="00F0111F"/>
    <w:rsid w:val="00F0192B"/>
    <w:rsid w:val="00F021AB"/>
    <w:rsid w:val="00F03037"/>
    <w:rsid w:val="00F03259"/>
    <w:rsid w:val="00F048C1"/>
    <w:rsid w:val="00F058CE"/>
    <w:rsid w:val="00F05A01"/>
    <w:rsid w:val="00F05F05"/>
    <w:rsid w:val="00F066EB"/>
    <w:rsid w:val="00F076CB"/>
    <w:rsid w:val="00F07984"/>
    <w:rsid w:val="00F10716"/>
    <w:rsid w:val="00F11960"/>
    <w:rsid w:val="00F133D8"/>
    <w:rsid w:val="00F137DB"/>
    <w:rsid w:val="00F13FCC"/>
    <w:rsid w:val="00F1419A"/>
    <w:rsid w:val="00F143F5"/>
    <w:rsid w:val="00F15609"/>
    <w:rsid w:val="00F15853"/>
    <w:rsid w:val="00F15BC3"/>
    <w:rsid w:val="00F164BE"/>
    <w:rsid w:val="00F16CAF"/>
    <w:rsid w:val="00F175F1"/>
    <w:rsid w:val="00F1785E"/>
    <w:rsid w:val="00F17E3D"/>
    <w:rsid w:val="00F20E4A"/>
    <w:rsid w:val="00F2217C"/>
    <w:rsid w:val="00F23A1F"/>
    <w:rsid w:val="00F240AE"/>
    <w:rsid w:val="00F240C7"/>
    <w:rsid w:val="00F2495D"/>
    <w:rsid w:val="00F24B6A"/>
    <w:rsid w:val="00F26A4F"/>
    <w:rsid w:val="00F26D12"/>
    <w:rsid w:val="00F30668"/>
    <w:rsid w:val="00F30C85"/>
    <w:rsid w:val="00F313B0"/>
    <w:rsid w:val="00F320B5"/>
    <w:rsid w:val="00F323CE"/>
    <w:rsid w:val="00F3299A"/>
    <w:rsid w:val="00F32D83"/>
    <w:rsid w:val="00F33DDF"/>
    <w:rsid w:val="00F33EE1"/>
    <w:rsid w:val="00F346ED"/>
    <w:rsid w:val="00F34DE8"/>
    <w:rsid w:val="00F36639"/>
    <w:rsid w:val="00F36B73"/>
    <w:rsid w:val="00F377F0"/>
    <w:rsid w:val="00F37800"/>
    <w:rsid w:val="00F37A6E"/>
    <w:rsid w:val="00F4074C"/>
    <w:rsid w:val="00F408C7"/>
    <w:rsid w:val="00F40A11"/>
    <w:rsid w:val="00F42ACF"/>
    <w:rsid w:val="00F430C9"/>
    <w:rsid w:val="00F438A1"/>
    <w:rsid w:val="00F440BE"/>
    <w:rsid w:val="00F462E4"/>
    <w:rsid w:val="00F46C64"/>
    <w:rsid w:val="00F46CBE"/>
    <w:rsid w:val="00F5179E"/>
    <w:rsid w:val="00F52405"/>
    <w:rsid w:val="00F52A1B"/>
    <w:rsid w:val="00F539D9"/>
    <w:rsid w:val="00F54A73"/>
    <w:rsid w:val="00F55A5A"/>
    <w:rsid w:val="00F55B40"/>
    <w:rsid w:val="00F55B8B"/>
    <w:rsid w:val="00F56593"/>
    <w:rsid w:val="00F56C34"/>
    <w:rsid w:val="00F61821"/>
    <w:rsid w:val="00F61D58"/>
    <w:rsid w:val="00F61FEC"/>
    <w:rsid w:val="00F62168"/>
    <w:rsid w:val="00F627D4"/>
    <w:rsid w:val="00F62956"/>
    <w:rsid w:val="00F62EF7"/>
    <w:rsid w:val="00F649FB"/>
    <w:rsid w:val="00F64B5E"/>
    <w:rsid w:val="00F65F89"/>
    <w:rsid w:val="00F6748A"/>
    <w:rsid w:val="00F67E90"/>
    <w:rsid w:val="00F70330"/>
    <w:rsid w:val="00F7131B"/>
    <w:rsid w:val="00F7155D"/>
    <w:rsid w:val="00F725AD"/>
    <w:rsid w:val="00F73DD2"/>
    <w:rsid w:val="00F7450E"/>
    <w:rsid w:val="00F74FAC"/>
    <w:rsid w:val="00F76054"/>
    <w:rsid w:val="00F76739"/>
    <w:rsid w:val="00F7767F"/>
    <w:rsid w:val="00F7778E"/>
    <w:rsid w:val="00F8034B"/>
    <w:rsid w:val="00F82A9E"/>
    <w:rsid w:val="00F82DA1"/>
    <w:rsid w:val="00F83018"/>
    <w:rsid w:val="00F8443C"/>
    <w:rsid w:val="00F84C0C"/>
    <w:rsid w:val="00F8582D"/>
    <w:rsid w:val="00F86D23"/>
    <w:rsid w:val="00F873ED"/>
    <w:rsid w:val="00F87915"/>
    <w:rsid w:val="00F87D38"/>
    <w:rsid w:val="00F90584"/>
    <w:rsid w:val="00F90765"/>
    <w:rsid w:val="00F91114"/>
    <w:rsid w:val="00F91371"/>
    <w:rsid w:val="00F91969"/>
    <w:rsid w:val="00F9373D"/>
    <w:rsid w:val="00F937E6"/>
    <w:rsid w:val="00F943F3"/>
    <w:rsid w:val="00F969AD"/>
    <w:rsid w:val="00F96B3C"/>
    <w:rsid w:val="00FA0276"/>
    <w:rsid w:val="00FA06AE"/>
    <w:rsid w:val="00FA1499"/>
    <w:rsid w:val="00FA22D8"/>
    <w:rsid w:val="00FA27EC"/>
    <w:rsid w:val="00FA391B"/>
    <w:rsid w:val="00FA3E4F"/>
    <w:rsid w:val="00FA62A9"/>
    <w:rsid w:val="00FA64AF"/>
    <w:rsid w:val="00FA6BF8"/>
    <w:rsid w:val="00FA740E"/>
    <w:rsid w:val="00FB14F7"/>
    <w:rsid w:val="00FB1E25"/>
    <w:rsid w:val="00FB25D2"/>
    <w:rsid w:val="00FB392D"/>
    <w:rsid w:val="00FB4DCF"/>
    <w:rsid w:val="00FB67C6"/>
    <w:rsid w:val="00FB6FF1"/>
    <w:rsid w:val="00FB778B"/>
    <w:rsid w:val="00FB77B2"/>
    <w:rsid w:val="00FB7C03"/>
    <w:rsid w:val="00FC02E1"/>
    <w:rsid w:val="00FC07C4"/>
    <w:rsid w:val="00FC0B40"/>
    <w:rsid w:val="00FC0CA4"/>
    <w:rsid w:val="00FC1F37"/>
    <w:rsid w:val="00FC2575"/>
    <w:rsid w:val="00FC2A2B"/>
    <w:rsid w:val="00FC3777"/>
    <w:rsid w:val="00FC3ACB"/>
    <w:rsid w:val="00FC3B1F"/>
    <w:rsid w:val="00FC4266"/>
    <w:rsid w:val="00FC4B25"/>
    <w:rsid w:val="00FC7248"/>
    <w:rsid w:val="00FC7D32"/>
    <w:rsid w:val="00FD0BA9"/>
    <w:rsid w:val="00FD0D6B"/>
    <w:rsid w:val="00FD11A7"/>
    <w:rsid w:val="00FD1F19"/>
    <w:rsid w:val="00FD28DB"/>
    <w:rsid w:val="00FD4214"/>
    <w:rsid w:val="00FD424E"/>
    <w:rsid w:val="00FD4313"/>
    <w:rsid w:val="00FD45FB"/>
    <w:rsid w:val="00FD52EC"/>
    <w:rsid w:val="00FD6184"/>
    <w:rsid w:val="00FD67D1"/>
    <w:rsid w:val="00FD6E9C"/>
    <w:rsid w:val="00FD73EE"/>
    <w:rsid w:val="00FE0FF7"/>
    <w:rsid w:val="00FE194D"/>
    <w:rsid w:val="00FE1A07"/>
    <w:rsid w:val="00FE1A30"/>
    <w:rsid w:val="00FE1AE1"/>
    <w:rsid w:val="00FE1F8B"/>
    <w:rsid w:val="00FE214C"/>
    <w:rsid w:val="00FE237D"/>
    <w:rsid w:val="00FE499A"/>
    <w:rsid w:val="00FE502C"/>
    <w:rsid w:val="00FE547F"/>
    <w:rsid w:val="00FE57C8"/>
    <w:rsid w:val="00FE6827"/>
    <w:rsid w:val="00FE7988"/>
    <w:rsid w:val="00FE7E89"/>
    <w:rsid w:val="00FF091C"/>
    <w:rsid w:val="00FF18D5"/>
    <w:rsid w:val="00FF2C5A"/>
    <w:rsid w:val="00FF31D0"/>
    <w:rsid w:val="00FF3491"/>
    <w:rsid w:val="00FF499A"/>
    <w:rsid w:val="00FF4FDD"/>
    <w:rsid w:val="00FF51DB"/>
    <w:rsid w:val="00FF6517"/>
    <w:rsid w:val="35F9304A"/>
    <w:rsid w:val="4E6F0DB3"/>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98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CA1"/>
    <w:pPr>
      <w:spacing w:after="160" w:line="259" w:lineRule="auto"/>
    </w:pPr>
    <w:rPr>
      <w:sz w:val="22"/>
      <w:szCs w:val="22"/>
      <w:lang w:val="en-US" w:eastAsia="en-US"/>
    </w:rPr>
  </w:style>
  <w:style w:type="paragraph" w:styleId="10">
    <w:name w:val="heading 1"/>
    <w:basedOn w:val="a"/>
    <w:next w:val="a"/>
    <w:link w:val="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numPr>
        <w:ilvl w:val="1"/>
        <w:numId w:val="1"/>
      </w:numPr>
      <w:spacing w:before="40" w:after="0"/>
      <w:ind w:right="-144"/>
      <w:jc w:val="both"/>
      <w:outlineLvl w:val="1"/>
    </w:pPr>
    <w:rPr>
      <w:rFonts w:asciiTheme="majorHAnsi" w:eastAsiaTheme="majorEastAsia" w:hAnsiTheme="majorHAnsi" w:cstheme="majorBidi"/>
      <w:b/>
      <w:bCs/>
      <w:color w:val="000000" w:themeColor="text1"/>
      <w:sz w:val="28"/>
      <w:szCs w:val="28"/>
      <w:lang w:val="el-GR"/>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Segoe UI" w:hAnsi="Segoe UI" w:cs="Segoe UI"/>
      <w:sz w:val="18"/>
      <w:szCs w:val="18"/>
    </w:rPr>
  </w:style>
  <w:style w:type="paragraph" w:styleId="a4">
    <w:name w:val="caption"/>
    <w:basedOn w:val="a"/>
    <w:next w:val="a"/>
    <w:uiPriority w:val="35"/>
    <w:unhideWhenUsed/>
    <w:qFormat/>
    <w:pPr>
      <w:spacing w:after="200" w:line="240" w:lineRule="auto"/>
    </w:pPr>
    <w:rPr>
      <w:i/>
      <w:iCs/>
      <w:color w:val="44546A" w:themeColor="text2"/>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Char0"/>
    <w:uiPriority w:val="99"/>
    <w:unhideWhenUsed/>
    <w:pPr>
      <w:spacing w:line="240" w:lineRule="auto"/>
    </w:pPr>
    <w:rPr>
      <w:sz w:val="20"/>
      <w:szCs w:val="20"/>
    </w:rPr>
  </w:style>
  <w:style w:type="paragraph" w:styleId="a7">
    <w:name w:val="annotation subject"/>
    <w:basedOn w:val="a6"/>
    <w:next w:val="a6"/>
    <w:link w:val="Char1"/>
    <w:uiPriority w:val="99"/>
    <w:semiHidden/>
    <w:unhideWhenUsed/>
    <w:rPr>
      <w:b/>
      <w:bCs/>
    </w:rPr>
  </w:style>
  <w:style w:type="character" w:styleId="-">
    <w:name w:val="FollowedHyperlink"/>
    <w:basedOn w:val="a0"/>
    <w:uiPriority w:val="99"/>
    <w:semiHidden/>
    <w:unhideWhenUsed/>
    <w:rPr>
      <w:color w:val="954F72" w:themeColor="followedHyperlink"/>
      <w:u w:val="single"/>
    </w:rPr>
  </w:style>
  <w:style w:type="paragraph" w:styleId="a8">
    <w:name w:val="footer"/>
    <w:basedOn w:val="a"/>
    <w:link w:val="Char2"/>
    <w:uiPriority w:val="99"/>
    <w:unhideWhenUsed/>
    <w:qFormat/>
    <w:pPr>
      <w:tabs>
        <w:tab w:val="center" w:pos="4680"/>
        <w:tab w:val="right" w:pos="9360"/>
      </w:tabs>
      <w:spacing w:after="0" w:line="240" w:lineRule="auto"/>
    </w:pPr>
  </w:style>
  <w:style w:type="character" w:styleId="a9">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9"/>
    <w:uiPriority w:val="99"/>
    <w:pPr>
      <w:spacing w:after="0" w:line="240" w:lineRule="exact"/>
      <w:jc w:val="both"/>
    </w:pPr>
    <w:rPr>
      <w:vertAlign w:val="superscript"/>
    </w:rPr>
  </w:style>
  <w:style w:type="paragraph" w:styleId="aa">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3"/>
    <w:uiPriority w:val="99"/>
    <w:unhideWhenUsed/>
    <w:qFormat/>
    <w:pPr>
      <w:spacing w:after="0" w:line="240" w:lineRule="auto"/>
    </w:pPr>
    <w:rPr>
      <w:sz w:val="20"/>
      <w:szCs w:val="20"/>
    </w:rPr>
  </w:style>
  <w:style w:type="paragraph" w:styleId="ab">
    <w:name w:val="header"/>
    <w:basedOn w:val="a"/>
    <w:link w:val="Char4"/>
    <w:uiPriority w:val="99"/>
    <w:unhideWhenUsed/>
    <w:pPr>
      <w:tabs>
        <w:tab w:val="center" w:pos="4680"/>
        <w:tab w:val="right" w:pos="9360"/>
      </w:tabs>
      <w:spacing w:after="0" w:line="240" w:lineRule="auto"/>
    </w:p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styleId="-0">
    <w:name w:val="Hyperlink"/>
    <w:basedOn w:val="a0"/>
    <w:uiPriority w:val="99"/>
    <w:unhideWhenUsed/>
    <w:rPr>
      <w:color w:val="0563C1" w:themeColor="hyperlink"/>
      <w:u w:val="single"/>
    </w:rPr>
  </w:style>
  <w:style w:type="paragraph" w:styleId="Web">
    <w:name w:val="Normal (Web)"/>
    <w:basedOn w:val="a"/>
    <w:uiPriority w:val="99"/>
    <w:pPr>
      <w:spacing w:before="100" w:beforeAutospacing="1" w:after="100" w:afterAutospacing="1" w:line="240" w:lineRule="auto"/>
      <w:jc w:val="both"/>
    </w:pPr>
    <w:rPr>
      <w:rFonts w:ascii="Calibri" w:eastAsia="Times New Roman" w:hAnsi="Calibri" w:cs="Times New Roman"/>
      <w:sz w:val="24"/>
      <w:szCs w:val="24"/>
    </w:rPr>
  </w:style>
  <w:style w:type="character" w:styleId="ac">
    <w:name w:val="Strong"/>
    <w:uiPriority w:val="22"/>
    <w:qFormat/>
    <w:rPr>
      <w:b/>
      <w:bCs/>
    </w:rPr>
  </w:style>
  <w:style w:type="paragraph" w:styleId="ad">
    <w:name w:val="Subtitle"/>
    <w:basedOn w:val="a"/>
    <w:next w:val="a"/>
    <w:link w:val="Char5"/>
    <w:qFormat/>
    <w:pPr>
      <w:spacing w:line="276" w:lineRule="auto"/>
      <w:jc w:val="both"/>
    </w:pPr>
    <w:rPr>
      <w:rFonts w:eastAsiaTheme="minorEastAsia"/>
      <w:color w:val="595959" w:themeColor="text1" w:themeTint="A6"/>
      <w:spacing w:val="15"/>
      <w:lang w:val="el-GR" w:eastAsia="el-GR"/>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able of figures"/>
    <w:basedOn w:val="a"/>
    <w:next w:val="a"/>
    <w:uiPriority w:val="99"/>
    <w:unhideWhenUsed/>
    <w:pPr>
      <w:spacing w:after="0"/>
    </w:pPr>
  </w:style>
  <w:style w:type="paragraph" w:styleId="af0">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11">
    <w:name w:val="toc 1"/>
    <w:basedOn w:val="a"/>
    <w:next w:val="a"/>
    <w:uiPriority w:val="39"/>
    <w:unhideWhenUsed/>
    <w:pPr>
      <w:tabs>
        <w:tab w:val="left" w:pos="440"/>
        <w:tab w:val="right" w:leader="dot" w:pos="9203"/>
      </w:tabs>
      <w:spacing w:after="100"/>
      <w:ind w:left="426" w:hanging="426"/>
    </w:pPr>
  </w:style>
  <w:style w:type="paragraph" w:styleId="20">
    <w:name w:val="toc 2"/>
    <w:basedOn w:val="a"/>
    <w:next w:val="a"/>
    <w:uiPriority w:val="39"/>
    <w:unhideWhenUsed/>
    <w:pPr>
      <w:spacing w:after="100"/>
      <w:ind w:left="220"/>
    </w:pPr>
  </w:style>
  <w:style w:type="paragraph" w:styleId="30">
    <w:name w:val="toc 3"/>
    <w:basedOn w:val="a"/>
    <w:next w:val="a"/>
    <w:uiPriority w:val="39"/>
    <w:unhideWhenUsed/>
    <w:pPr>
      <w:spacing w:after="100"/>
      <w:ind w:left="440"/>
    </w:pPr>
    <w:rPr>
      <w:rFonts w:eastAsiaTheme="minorEastAsia" w:cs="Times New Roman"/>
      <w:lang w:val="el-GR" w:eastAsia="el-GR"/>
    </w:rPr>
  </w:style>
  <w:style w:type="character" w:customStyle="1" w:styleId="Char4">
    <w:name w:val="Κεφαλίδα Char"/>
    <w:basedOn w:val="a0"/>
    <w:link w:val="ab"/>
    <w:uiPriority w:val="99"/>
    <w:qFormat/>
  </w:style>
  <w:style w:type="character" w:customStyle="1" w:styleId="Char2">
    <w:name w:val="Υποσέλιδο Char"/>
    <w:basedOn w:val="a0"/>
    <w:link w:val="a8"/>
    <w:uiPriority w:val="99"/>
    <w:qFormat/>
  </w:style>
  <w:style w:type="character" w:customStyle="1" w:styleId="Char6">
    <w:name w:val="Τίτλος Char"/>
    <w:basedOn w:val="a0"/>
    <w:link w:val="af0"/>
    <w:uiPriority w:val="10"/>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0"/>
    <w:uiPriority w:val="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Pr>
      <w:rFonts w:asciiTheme="majorHAnsi" w:eastAsiaTheme="majorEastAsia" w:hAnsiTheme="majorHAnsi" w:cstheme="majorBidi"/>
      <w:b/>
      <w:bCs/>
      <w:color w:val="000000" w:themeColor="text1"/>
      <w:sz w:val="28"/>
      <w:szCs w:val="28"/>
      <w:lang w:val="el-GR"/>
    </w:rPr>
  </w:style>
  <w:style w:type="character" w:customStyle="1" w:styleId="3Char">
    <w:name w:val="Επικεφαλίδα 3 Char"/>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4Char">
    <w:name w:val="Επικεφαλίδα 4 Char"/>
    <w:basedOn w:val="a0"/>
    <w:link w:val="4"/>
    <w:uiPriority w:val="9"/>
    <w:semiHidden/>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Pr>
      <w:rFonts w:asciiTheme="majorHAnsi" w:eastAsiaTheme="majorEastAsia" w:hAnsiTheme="majorHAnsi" w:cstheme="majorBidi"/>
      <w:color w:val="1F3864" w:themeColor="accent1" w:themeShade="80"/>
    </w:rPr>
  </w:style>
  <w:style w:type="character" w:customStyle="1" w:styleId="7Char">
    <w:name w:val="Επικεφαλίδα 7 Char"/>
    <w:basedOn w:val="a0"/>
    <w:link w:val="7"/>
    <w:uiPriority w:val="9"/>
    <w:semiHidden/>
    <w:rPr>
      <w:rFonts w:asciiTheme="majorHAnsi" w:eastAsiaTheme="majorEastAsia" w:hAnsiTheme="majorHAnsi" w:cstheme="majorBidi"/>
      <w:i/>
      <w:iCs/>
      <w:color w:val="1F3864" w:themeColor="accent1" w:themeShade="80"/>
    </w:rPr>
  </w:style>
  <w:style w:type="character" w:customStyle="1" w:styleId="8Char">
    <w:name w:val="Επικεφαλίδα 8 Char"/>
    <w:basedOn w:val="a0"/>
    <w:link w:val="8"/>
    <w:uiPriority w:val="9"/>
    <w:semiHidden/>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Pr>
      <w:rFonts w:asciiTheme="majorHAnsi" w:eastAsiaTheme="majorEastAsia" w:hAnsiTheme="majorHAnsi" w:cstheme="majorBidi"/>
      <w:i/>
      <w:iCs/>
      <w:color w:val="262626" w:themeColor="text1" w:themeTint="D9"/>
      <w:sz w:val="21"/>
      <w:szCs w:val="21"/>
    </w:rPr>
  </w:style>
  <w:style w:type="character" w:styleId="af1">
    <w:name w:val="Placeholder Text"/>
    <w:basedOn w:val="a0"/>
    <w:uiPriority w:val="99"/>
    <w:semiHidden/>
    <w:rPr>
      <w:color w:val="808080"/>
    </w:rPr>
  </w:style>
  <w:style w:type="character" w:customStyle="1" w:styleId="Char3">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a"/>
    <w:uiPriority w:val="99"/>
    <w:rPr>
      <w:sz w:val="20"/>
      <w:szCs w:val="20"/>
    </w:rPr>
  </w:style>
  <w:style w:type="character" w:customStyle="1" w:styleId="12">
    <w:name w:val="Ανεπίλυτη αναφορά1"/>
    <w:basedOn w:val="a0"/>
    <w:uiPriority w:val="99"/>
    <w:semiHidden/>
    <w:unhideWhenUsed/>
    <w:rPr>
      <w:color w:val="808080"/>
      <w:shd w:val="clear" w:color="auto" w:fill="E6E6E6"/>
    </w:rPr>
  </w:style>
  <w:style w:type="paragraph" w:styleId="af2">
    <w:name w:val="List Paragraph"/>
    <w:basedOn w:val="a"/>
    <w:link w:val="Char7"/>
    <w:uiPriority w:val="34"/>
    <w:qFormat/>
    <w:pPr>
      <w:ind w:left="720"/>
      <w:contextualSpacing/>
    </w:pPr>
  </w:style>
  <w:style w:type="paragraph" w:customStyle="1" w:styleId="13">
    <w:name w:val="Επικεφαλίδα ΠΠ1"/>
    <w:basedOn w:val="10"/>
    <w:next w:val="a"/>
    <w:uiPriority w:val="39"/>
    <w:unhideWhenUsed/>
    <w:qFormat/>
    <w:pPr>
      <w:outlineLvl w:val="9"/>
    </w:pPr>
  </w:style>
  <w:style w:type="paragraph" w:customStyle="1" w:styleId="Default">
    <w:name w:val="Default"/>
    <w:pPr>
      <w:autoSpaceDE w:val="0"/>
      <w:autoSpaceDN w:val="0"/>
      <w:adjustRightInd w:val="0"/>
    </w:pPr>
    <w:rPr>
      <w:rFonts w:ascii="Book Antiqua" w:hAnsi="Book Antiqua" w:cs="Book Antiqua"/>
      <w:color w:val="000000"/>
      <w:sz w:val="24"/>
      <w:szCs w:val="24"/>
      <w:lang w:eastAsia="en-US"/>
    </w:rPr>
  </w:style>
  <w:style w:type="character" w:customStyle="1" w:styleId="21">
    <w:name w:val="Ανεπίλυτη αναφορά2"/>
    <w:basedOn w:val="a0"/>
    <w:uiPriority w:val="99"/>
    <w:semiHidden/>
    <w:unhideWhenUsed/>
    <w:rPr>
      <w:color w:val="605E5C"/>
      <w:shd w:val="clear" w:color="auto" w:fill="E1DFDD"/>
    </w:rPr>
  </w:style>
  <w:style w:type="table" w:customStyle="1" w:styleId="2-51">
    <w:name w:val="Πίνακας 2 με πλέγμα - Έμφαση 51"/>
    <w:basedOn w:val="a1"/>
    <w:uiPriority w:val="47"/>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Char">
    <w:name w:val="Κείμενο πλαισίου Char"/>
    <w:basedOn w:val="a0"/>
    <w:link w:val="a3"/>
    <w:uiPriority w:val="99"/>
    <w:semiHidden/>
    <w:rPr>
      <w:rFonts w:ascii="Segoe UI" w:hAnsi="Segoe UI" w:cs="Segoe UI"/>
      <w:sz w:val="18"/>
      <w:szCs w:val="18"/>
    </w:rPr>
  </w:style>
  <w:style w:type="table" w:customStyle="1" w:styleId="110">
    <w:name w:val="Απλός πίνακας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0">
    <w:name w:val="Κείμενο σχολίου Char"/>
    <w:basedOn w:val="a0"/>
    <w:link w:val="a6"/>
    <w:uiPriority w:val="99"/>
    <w:rPr>
      <w:sz w:val="20"/>
      <w:szCs w:val="20"/>
    </w:rPr>
  </w:style>
  <w:style w:type="character" w:customStyle="1" w:styleId="Char1">
    <w:name w:val="Θέμα σχολίου Char"/>
    <w:basedOn w:val="Char0"/>
    <w:link w:val="a7"/>
    <w:uiPriority w:val="99"/>
    <w:semiHidden/>
    <w:rPr>
      <w:b/>
      <w:bCs/>
      <w:sz w:val="20"/>
      <w:szCs w:val="20"/>
    </w:rPr>
  </w:style>
  <w:style w:type="table" w:customStyle="1" w:styleId="4-61">
    <w:name w:val="Πίνακας 4 με πλέγμα - Έμφαση 61"/>
    <w:basedOn w:val="a1"/>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style>
  <w:style w:type="table" w:customStyle="1" w:styleId="4-41">
    <w:name w:val="Πίνακας 4 με πλέγμα - Έμφαση 41"/>
    <w:basedOn w:val="a1"/>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TMLChar">
    <w:name w:val="Προ-διαμορφωμένο HTML Char"/>
    <w:basedOn w:val="a0"/>
    <w:link w:val="-HTML"/>
    <w:uiPriority w:val="99"/>
    <w:rPr>
      <w:rFonts w:ascii="Courier New" w:eastAsia="Times New Roman" w:hAnsi="Courier New" w:cs="Courier New"/>
      <w:sz w:val="20"/>
      <w:szCs w:val="20"/>
      <w:lang w:val="el-GR" w:eastAsia="el-GR"/>
    </w:rPr>
  </w:style>
  <w:style w:type="character" w:customStyle="1" w:styleId="smalltext">
    <w:name w:val="smalltext"/>
    <w:basedOn w:val="a0"/>
  </w:style>
  <w:style w:type="table" w:customStyle="1" w:styleId="111">
    <w:name w:val="Πίνακας 1 με ανοιχτόχρωμο πλέγμα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Pr>
      <w:color w:val="605E5C"/>
      <w:shd w:val="clear" w:color="auto" w:fill="E1DFDD"/>
    </w:rPr>
  </w:style>
  <w:style w:type="character" w:customStyle="1" w:styleId="tlid-translation">
    <w:name w:val="tlid-translation"/>
    <w:basedOn w:val="a0"/>
  </w:style>
  <w:style w:type="table" w:customStyle="1" w:styleId="210">
    <w:name w:val="Απλός πίνακας 21"/>
    <w:basedOn w:val="a1"/>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4">
    <w:name w:val="Αναθεώρηση1"/>
    <w:hidden/>
    <w:uiPriority w:val="99"/>
    <w:semiHidden/>
    <w:rPr>
      <w:sz w:val="22"/>
      <w:szCs w:val="22"/>
      <w:lang w:val="en-US" w:eastAsia="en-US"/>
    </w:rPr>
  </w:style>
  <w:style w:type="character" w:customStyle="1" w:styleId="Char7">
    <w:name w:val="Παράγραφος λίστας Char"/>
    <w:basedOn w:val="a0"/>
    <w:link w:val="af2"/>
    <w:uiPriority w:val="34"/>
  </w:style>
  <w:style w:type="character" w:customStyle="1" w:styleId="Char5">
    <w:name w:val="Υπότιτλος Char"/>
    <w:basedOn w:val="a0"/>
    <w:link w:val="ad"/>
    <w:rPr>
      <w:rFonts w:eastAsiaTheme="minorEastAsia"/>
      <w:color w:val="595959" w:themeColor="text1" w:themeTint="A6"/>
      <w:spacing w:val="15"/>
      <w:lang w:val="el-GR" w:eastAsia="el-GR"/>
    </w:rPr>
  </w:style>
  <w:style w:type="paragraph" w:styleId="af3">
    <w:name w:val="No Spacing"/>
    <w:link w:val="Char8"/>
    <w:uiPriority w:val="1"/>
    <w:qFormat/>
    <w:rPr>
      <w:rFonts w:ascii="Times New Roman" w:eastAsia="Times New Roman" w:hAnsi="Times New Roman" w:cs="Times New Roman"/>
      <w:sz w:val="22"/>
      <w:szCs w:val="22"/>
      <w:lang w:val="fr-BE" w:eastAsia="en-US"/>
    </w:rPr>
  </w:style>
  <w:style w:type="character" w:customStyle="1" w:styleId="markedcontent">
    <w:name w:val="markedcontent"/>
    <w:basedOn w:val="a0"/>
  </w:style>
  <w:style w:type="character" w:customStyle="1" w:styleId="40">
    <w:name w:val="Ανεπίλυτη αναφορά4"/>
    <w:basedOn w:val="a0"/>
    <w:uiPriority w:val="99"/>
    <w:semiHidden/>
    <w:unhideWhenUsed/>
    <w:rPr>
      <w:color w:val="605E5C"/>
      <w:shd w:val="clear" w:color="auto" w:fill="E1DFDD"/>
    </w:rPr>
  </w:style>
  <w:style w:type="character" w:customStyle="1" w:styleId="50">
    <w:name w:val="Ανεπίλυτη αναφορά5"/>
    <w:basedOn w:val="a0"/>
    <w:uiPriority w:val="99"/>
    <w:semiHidden/>
    <w:unhideWhenUsed/>
    <w:rPr>
      <w:color w:val="605E5C"/>
      <w:shd w:val="clear" w:color="auto" w:fill="E1DFDD"/>
    </w:rPr>
  </w:style>
  <w:style w:type="character" w:customStyle="1" w:styleId="pg-2ff2">
    <w:name w:val="pg-2ff2"/>
    <w:basedOn w:val="a0"/>
    <w:rsid w:val="00FE499A"/>
  </w:style>
  <w:style w:type="character" w:customStyle="1" w:styleId="af4">
    <w:name w:val="_"/>
    <w:basedOn w:val="a0"/>
    <w:rsid w:val="00FE499A"/>
  </w:style>
  <w:style w:type="character" w:customStyle="1" w:styleId="pg-2ff3">
    <w:name w:val="pg-2ff3"/>
    <w:basedOn w:val="a0"/>
    <w:rsid w:val="00FE499A"/>
  </w:style>
  <w:style w:type="character" w:styleId="af5">
    <w:name w:val="Unresolved Mention"/>
    <w:basedOn w:val="a0"/>
    <w:uiPriority w:val="99"/>
    <w:semiHidden/>
    <w:unhideWhenUsed/>
    <w:rsid w:val="005F7E7A"/>
    <w:rPr>
      <w:color w:val="605E5C"/>
      <w:shd w:val="clear" w:color="auto" w:fill="E1DFDD"/>
    </w:rPr>
  </w:style>
  <w:style w:type="character" w:styleId="af6">
    <w:name w:val="page number"/>
    <w:basedOn w:val="a0"/>
    <w:uiPriority w:val="99"/>
    <w:semiHidden/>
    <w:unhideWhenUsed/>
    <w:rsid w:val="00D25661"/>
  </w:style>
  <w:style w:type="paragraph" w:customStyle="1" w:styleId="15">
    <w:name w:val="Βασικό1"/>
    <w:rsid w:val="00AF3479"/>
    <w:pPr>
      <w:spacing w:before="100" w:beforeAutospacing="1" w:after="100" w:afterAutospacing="1" w:line="256" w:lineRule="auto"/>
    </w:pPr>
    <w:rPr>
      <w:rFonts w:ascii="Aptos" w:eastAsia="Times New Roman" w:hAnsi="Aptos" w:cs="Times New Roman"/>
      <w:sz w:val="24"/>
      <w:szCs w:val="24"/>
    </w:rPr>
  </w:style>
  <w:style w:type="character" w:customStyle="1" w:styleId="hgkelc">
    <w:name w:val="hgkelc"/>
    <w:basedOn w:val="a0"/>
    <w:rsid w:val="00AF3479"/>
  </w:style>
  <w:style w:type="character" w:customStyle="1" w:styleId="hidden">
    <w:name w:val="hidden"/>
    <w:basedOn w:val="a0"/>
    <w:rsid w:val="00464451"/>
  </w:style>
  <w:style w:type="character" w:customStyle="1" w:styleId="y2iqfc">
    <w:name w:val="y2iqfc"/>
    <w:basedOn w:val="a0"/>
    <w:rsid w:val="003A55E1"/>
  </w:style>
  <w:style w:type="character" w:customStyle="1" w:styleId="Char8">
    <w:name w:val="Χωρίς διάστιχο Char"/>
    <w:basedOn w:val="a0"/>
    <w:link w:val="af3"/>
    <w:uiPriority w:val="1"/>
    <w:rsid w:val="00375C70"/>
    <w:rPr>
      <w:rFonts w:ascii="Times New Roman" w:eastAsia="Times New Roman" w:hAnsi="Times New Roman" w:cs="Times New Roman"/>
      <w:sz w:val="22"/>
      <w:szCs w:val="22"/>
      <w:lang w:val="fr-BE" w:eastAsia="en-US"/>
    </w:rPr>
  </w:style>
  <w:style w:type="numbering" w:customStyle="1" w:styleId="1">
    <w:name w:val="Στυλ1"/>
    <w:uiPriority w:val="99"/>
    <w:rsid w:val="003677F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4455">
      <w:bodyDiv w:val="1"/>
      <w:marLeft w:val="0"/>
      <w:marRight w:val="0"/>
      <w:marTop w:val="0"/>
      <w:marBottom w:val="0"/>
      <w:divBdr>
        <w:top w:val="none" w:sz="0" w:space="0" w:color="auto"/>
        <w:left w:val="none" w:sz="0" w:space="0" w:color="auto"/>
        <w:bottom w:val="none" w:sz="0" w:space="0" w:color="auto"/>
        <w:right w:val="none" w:sz="0" w:space="0" w:color="auto"/>
      </w:divBdr>
    </w:div>
    <w:div w:id="344328840">
      <w:bodyDiv w:val="1"/>
      <w:marLeft w:val="0"/>
      <w:marRight w:val="0"/>
      <w:marTop w:val="0"/>
      <w:marBottom w:val="0"/>
      <w:divBdr>
        <w:top w:val="none" w:sz="0" w:space="0" w:color="auto"/>
        <w:left w:val="none" w:sz="0" w:space="0" w:color="auto"/>
        <w:bottom w:val="none" w:sz="0" w:space="0" w:color="auto"/>
        <w:right w:val="none" w:sz="0" w:space="0" w:color="auto"/>
      </w:divBdr>
    </w:div>
    <w:div w:id="378632720">
      <w:bodyDiv w:val="1"/>
      <w:marLeft w:val="0"/>
      <w:marRight w:val="0"/>
      <w:marTop w:val="0"/>
      <w:marBottom w:val="0"/>
      <w:divBdr>
        <w:top w:val="none" w:sz="0" w:space="0" w:color="auto"/>
        <w:left w:val="none" w:sz="0" w:space="0" w:color="auto"/>
        <w:bottom w:val="none" w:sz="0" w:space="0" w:color="auto"/>
        <w:right w:val="none" w:sz="0" w:space="0" w:color="auto"/>
      </w:divBdr>
    </w:div>
    <w:div w:id="447550915">
      <w:bodyDiv w:val="1"/>
      <w:marLeft w:val="0"/>
      <w:marRight w:val="0"/>
      <w:marTop w:val="0"/>
      <w:marBottom w:val="0"/>
      <w:divBdr>
        <w:top w:val="none" w:sz="0" w:space="0" w:color="auto"/>
        <w:left w:val="none" w:sz="0" w:space="0" w:color="auto"/>
        <w:bottom w:val="none" w:sz="0" w:space="0" w:color="auto"/>
        <w:right w:val="none" w:sz="0" w:space="0" w:color="auto"/>
      </w:divBdr>
    </w:div>
    <w:div w:id="953514491">
      <w:bodyDiv w:val="1"/>
      <w:marLeft w:val="0"/>
      <w:marRight w:val="0"/>
      <w:marTop w:val="0"/>
      <w:marBottom w:val="0"/>
      <w:divBdr>
        <w:top w:val="none" w:sz="0" w:space="0" w:color="auto"/>
        <w:left w:val="none" w:sz="0" w:space="0" w:color="auto"/>
        <w:bottom w:val="none" w:sz="0" w:space="0" w:color="auto"/>
        <w:right w:val="none" w:sz="0" w:space="0" w:color="auto"/>
      </w:divBdr>
      <w:divsChild>
        <w:div w:id="1983920713">
          <w:marLeft w:val="0"/>
          <w:marRight w:val="0"/>
          <w:marTop w:val="0"/>
          <w:marBottom w:val="0"/>
          <w:divBdr>
            <w:top w:val="none" w:sz="0" w:space="0" w:color="auto"/>
            <w:left w:val="none" w:sz="0" w:space="0" w:color="auto"/>
            <w:bottom w:val="none" w:sz="0" w:space="0" w:color="auto"/>
            <w:right w:val="none" w:sz="0" w:space="0" w:color="auto"/>
          </w:divBdr>
        </w:div>
        <w:div w:id="428694692">
          <w:marLeft w:val="0"/>
          <w:marRight w:val="0"/>
          <w:marTop w:val="0"/>
          <w:marBottom w:val="0"/>
          <w:divBdr>
            <w:top w:val="none" w:sz="0" w:space="0" w:color="auto"/>
            <w:left w:val="none" w:sz="0" w:space="0" w:color="auto"/>
            <w:bottom w:val="none" w:sz="0" w:space="0" w:color="auto"/>
            <w:right w:val="none" w:sz="0" w:space="0" w:color="auto"/>
          </w:divBdr>
        </w:div>
        <w:div w:id="543710605">
          <w:marLeft w:val="0"/>
          <w:marRight w:val="0"/>
          <w:marTop w:val="0"/>
          <w:marBottom w:val="0"/>
          <w:divBdr>
            <w:top w:val="none" w:sz="0" w:space="0" w:color="auto"/>
            <w:left w:val="none" w:sz="0" w:space="0" w:color="auto"/>
            <w:bottom w:val="none" w:sz="0" w:space="0" w:color="auto"/>
            <w:right w:val="none" w:sz="0" w:space="0" w:color="auto"/>
          </w:divBdr>
        </w:div>
        <w:div w:id="116527034">
          <w:marLeft w:val="0"/>
          <w:marRight w:val="0"/>
          <w:marTop w:val="0"/>
          <w:marBottom w:val="0"/>
          <w:divBdr>
            <w:top w:val="none" w:sz="0" w:space="0" w:color="auto"/>
            <w:left w:val="none" w:sz="0" w:space="0" w:color="auto"/>
            <w:bottom w:val="none" w:sz="0" w:space="0" w:color="auto"/>
            <w:right w:val="none" w:sz="0" w:space="0" w:color="auto"/>
          </w:divBdr>
        </w:div>
        <w:div w:id="1364592477">
          <w:marLeft w:val="0"/>
          <w:marRight w:val="0"/>
          <w:marTop w:val="0"/>
          <w:marBottom w:val="0"/>
          <w:divBdr>
            <w:top w:val="none" w:sz="0" w:space="0" w:color="auto"/>
            <w:left w:val="none" w:sz="0" w:space="0" w:color="auto"/>
            <w:bottom w:val="none" w:sz="0" w:space="0" w:color="auto"/>
            <w:right w:val="none" w:sz="0" w:space="0" w:color="auto"/>
          </w:divBdr>
        </w:div>
        <w:div w:id="65225154">
          <w:marLeft w:val="0"/>
          <w:marRight w:val="0"/>
          <w:marTop w:val="0"/>
          <w:marBottom w:val="0"/>
          <w:divBdr>
            <w:top w:val="none" w:sz="0" w:space="0" w:color="auto"/>
            <w:left w:val="none" w:sz="0" w:space="0" w:color="auto"/>
            <w:bottom w:val="none" w:sz="0" w:space="0" w:color="auto"/>
            <w:right w:val="none" w:sz="0" w:space="0" w:color="auto"/>
          </w:divBdr>
        </w:div>
        <w:div w:id="1286111229">
          <w:marLeft w:val="0"/>
          <w:marRight w:val="0"/>
          <w:marTop w:val="0"/>
          <w:marBottom w:val="0"/>
          <w:divBdr>
            <w:top w:val="none" w:sz="0" w:space="0" w:color="auto"/>
            <w:left w:val="none" w:sz="0" w:space="0" w:color="auto"/>
            <w:bottom w:val="none" w:sz="0" w:space="0" w:color="auto"/>
            <w:right w:val="none" w:sz="0" w:space="0" w:color="auto"/>
          </w:divBdr>
        </w:div>
      </w:divsChild>
    </w:div>
    <w:div w:id="1000621318">
      <w:bodyDiv w:val="1"/>
      <w:marLeft w:val="0"/>
      <w:marRight w:val="0"/>
      <w:marTop w:val="0"/>
      <w:marBottom w:val="0"/>
      <w:divBdr>
        <w:top w:val="none" w:sz="0" w:space="0" w:color="auto"/>
        <w:left w:val="none" w:sz="0" w:space="0" w:color="auto"/>
        <w:bottom w:val="none" w:sz="0" w:space="0" w:color="auto"/>
        <w:right w:val="none" w:sz="0" w:space="0" w:color="auto"/>
      </w:divBdr>
    </w:div>
    <w:div w:id="1062362472">
      <w:bodyDiv w:val="1"/>
      <w:marLeft w:val="0"/>
      <w:marRight w:val="0"/>
      <w:marTop w:val="0"/>
      <w:marBottom w:val="0"/>
      <w:divBdr>
        <w:top w:val="none" w:sz="0" w:space="0" w:color="auto"/>
        <w:left w:val="none" w:sz="0" w:space="0" w:color="auto"/>
        <w:bottom w:val="none" w:sz="0" w:space="0" w:color="auto"/>
        <w:right w:val="none" w:sz="0" w:space="0" w:color="auto"/>
      </w:divBdr>
    </w:div>
    <w:div w:id="1188103584">
      <w:bodyDiv w:val="1"/>
      <w:marLeft w:val="0"/>
      <w:marRight w:val="0"/>
      <w:marTop w:val="0"/>
      <w:marBottom w:val="0"/>
      <w:divBdr>
        <w:top w:val="none" w:sz="0" w:space="0" w:color="auto"/>
        <w:left w:val="none" w:sz="0" w:space="0" w:color="auto"/>
        <w:bottom w:val="none" w:sz="0" w:space="0" w:color="auto"/>
        <w:right w:val="none" w:sz="0" w:space="0" w:color="auto"/>
      </w:divBdr>
      <w:divsChild>
        <w:div w:id="2130858470">
          <w:marLeft w:val="0"/>
          <w:marRight w:val="0"/>
          <w:marTop w:val="0"/>
          <w:marBottom w:val="0"/>
          <w:divBdr>
            <w:top w:val="none" w:sz="0" w:space="0" w:color="auto"/>
            <w:left w:val="none" w:sz="0" w:space="0" w:color="auto"/>
            <w:bottom w:val="none" w:sz="0" w:space="0" w:color="auto"/>
            <w:right w:val="none" w:sz="0" w:space="0" w:color="auto"/>
          </w:divBdr>
          <w:divsChild>
            <w:div w:id="13925551">
              <w:marLeft w:val="0"/>
              <w:marRight w:val="0"/>
              <w:marTop w:val="0"/>
              <w:marBottom w:val="0"/>
              <w:divBdr>
                <w:top w:val="none" w:sz="0" w:space="0" w:color="auto"/>
                <w:left w:val="none" w:sz="0" w:space="0" w:color="auto"/>
                <w:bottom w:val="none" w:sz="0" w:space="0" w:color="auto"/>
                <w:right w:val="none" w:sz="0" w:space="0" w:color="auto"/>
              </w:divBdr>
            </w:div>
          </w:divsChild>
        </w:div>
        <w:div w:id="580986064">
          <w:marLeft w:val="0"/>
          <w:marRight w:val="0"/>
          <w:marTop w:val="0"/>
          <w:marBottom w:val="0"/>
          <w:divBdr>
            <w:top w:val="none" w:sz="0" w:space="0" w:color="auto"/>
            <w:left w:val="none" w:sz="0" w:space="0" w:color="auto"/>
            <w:bottom w:val="none" w:sz="0" w:space="0" w:color="auto"/>
            <w:right w:val="none" w:sz="0" w:space="0" w:color="auto"/>
          </w:divBdr>
          <w:divsChild>
            <w:div w:id="612907226">
              <w:marLeft w:val="0"/>
              <w:marRight w:val="0"/>
              <w:marTop w:val="0"/>
              <w:marBottom w:val="0"/>
              <w:divBdr>
                <w:top w:val="none" w:sz="0" w:space="0" w:color="auto"/>
                <w:left w:val="none" w:sz="0" w:space="0" w:color="auto"/>
                <w:bottom w:val="none" w:sz="0" w:space="0" w:color="auto"/>
                <w:right w:val="none" w:sz="0" w:space="0" w:color="auto"/>
              </w:divBdr>
              <w:divsChild>
                <w:div w:id="341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5211">
      <w:bodyDiv w:val="1"/>
      <w:marLeft w:val="0"/>
      <w:marRight w:val="0"/>
      <w:marTop w:val="0"/>
      <w:marBottom w:val="0"/>
      <w:divBdr>
        <w:top w:val="none" w:sz="0" w:space="0" w:color="auto"/>
        <w:left w:val="none" w:sz="0" w:space="0" w:color="auto"/>
        <w:bottom w:val="none" w:sz="0" w:space="0" w:color="auto"/>
        <w:right w:val="none" w:sz="0" w:space="0" w:color="auto"/>
      </w:divBdr>
    </w:div>
    <w:div w:id="1399092202">
      <w:bodyDiv w:val="1"/>
      <w:marLeft w:val="0"/>
      <w:marRight w:val="0"/>
      <w:marTop w:val="0"/>
      <w:marBottom w:val="0"/>
      <w:divBdr>
        <w:top w:val="none" w:sz="0" w:space="0" w:color="auto"/>
        <w:left w:val="none" w:sz="0" w:space="0" w:color="auto"/>
        <w:bottom w:val="none" w:sz="0" w:space="0" w:color="auto"/>
        <w:right w:val="none" w:sz="0" w:space="0" w:color="auto"/>
      </w:divBdr>
    </w:div>
    <w:div w:id="1475560784">
      <w:bodyDiv w:val="1"/>
      <w:marLeft w:val="0"/>
      <w:marRight w:val="0"/>
      <w:marTop w:val="0"/>
      <w:marBottom w:val="0"/>
      <w:divBdr>
        <w:top w:val="none" w:sz="0" w:space="0" w:color="auto"/>
        <w:left w:val="none" w:sz="0" w:space="0" w:color="auto"/>
        <w:bottom w:val="none" w:sz="0" w:space="0" w:color="auto"/>
        <w:right w:val="none" w:sz="0" w:space="0" w:color="auto"/>
      </w:divBdr>
    </w:div>
    <w:div w:id="1507787325">
      <w:bodyDiv w:val="1"/>
      <w:marLeft w:val="0"/>
      <w:marRight w:val="0"/>
      <w:marTop w:val="0"/>
      <w:marBottom w:val="0"/>
      <w:divBdr>
        <w:top w:val="none" w:sz="0" w:space="0" w:color="auto"/>
        <w:left w:val="none" w:sz="0" w:space="0" w:color="auto"/>
        <w:bottom w:val="none" w:sz="0" w:space="0" w:color="auto"/>
        <w:right w:val="none" w:sz="0" w:space="0" w:color="auto"/>
      </w:divBdr>
    </w:div>
    <w:div w:id="1674644841">
      <w:bodyDiv w:val="1"/>
      <w:marLeft w:val="0"/>
      <w:marRight w:val="0"/>
      <w:marTop w:val="0"/>
      <w:marBottom w:val="0"/>
      <w:divBdr>
        <w:top w:val="none" w:sz="0" w:space="0" w:color="auto"/>
        <w:left w:val="none" w:sz="0" w:space="0" w:color="auto"/>
        <w:bottom w:val="none" w:sz="0" w:space="0" w:color="auto"/>
        <w:right w:val="none" w:sz="0" w:space="0" w:color="auto"/>
      </w:divBdr>
    </w:div>
    <w:div w:id="1683120427">
      <w:bodyDiv w:val="1"/>
      <w:marLeft w:val="0"/>
      <w:marRight w:val="0"/>
      <w:marTop w:val="0"/>
      <w:marBottom w:val="0"/>
      <w:divBdr>
        <w:top w:val="none" w:sz="0" w:space="0" w:color="auto"/>
        <w:left w:val="none" w:sz="0" w:space="0" w:color="auto"/>
        <w:bottom w:val="none" w:sz="0" w:space="0" w:color="auto"/>
        <w:right w:val="none" w:sz="0" w:space="0" w:color="auto"/>
      </w:divBdr>
    </w:div>
    <w:div w:id="179879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cs.gr/el/statistics/-/publication/SFA10/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ouro\Downloads\graphs_3%20deltio_pover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uro\Downloads\graphs_3%20deltio_povert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uro\Downloads\graphs_3%20deltio_povert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uro\Downloads\graphs_3%20deltio_povert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ouro\Downloads\graphs_3%20deltio_povert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ouro\Downloads\graphs_3%20deltio_povert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ouro\Downloads\graphs_3%20deltio_povert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ouro\Downloads\graphs_3%20deltio_poverty.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1'!$A$2</c:f>
              <c:strCache>
                <c:ptCount val="1"/>
                <c:pt idx="0">
                  <c:v>Χωρίς αναπηρία 16 ετών και άνω</c:v>
                </c:pt>
              </c:strCache>
            </c:strRef>
          </c:tx>
          <c:spPr>
            <a:solidFill>
              <a:srgbClr val="00B0F0"/>
            </a:solidFill>
            <a:ln>
              <a:noFill/>
            </a:ln>
            <a:effectLst/>
          </c:spPr>
          <c:invertIfNegative val="0"/>
          <c:dLbls>
            <c:dLbl>
              <c:idx val="1"/>
              <c:layout>
                <c:manualLayout>
                  <c:x val="0"/>
                  <c:y val="-1.2195121951219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54-48C0-92BA-3E19617AF49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1'!$B$1:$J$1</c:f>
              <c:strCache>
                <c:ptCount val="9"/>
                <c:pt idx="0">
                  <c:v>2015</c:v>
                </c:pt>
                <c:pt idx="1">
                  <c:v>2016</c:v>
                </c:pt>
                <c:pt idx="2">
                  <c:v>2017</c:v>
                </c:pt>
                <c:pt idx="3">
                  <c:v>2018</c:v>
                </c:pt>
                <c:pt idx="4">
                  <c:v>2019</c:v>
                </c:pt>
                <c:pt idx="5">
                  <c:v>2020</c:v>
                </c:pt>
                <c:pt idx="6">
                  <c:v>2021</c:v>
                </c:pt>
                <c:pt idx="7">
                  <c:v>2022</c:v>
                </c:pt>
                <c:pt idx="8">
                  <c:v>2023</c:v>
                </c:pt>
              </c:strCache>
            </c:strRef>
          </c:cat>
          <c:val>
            <c:numRef>
              <c:f>'γραφημα 1'!$B$2:$J$2</c:f>
              <c:numCache>
                <c:formatCode>#,##0.##########</c:formatCode>
                <c:ptCount val="9"/>
                <c:pt idx="0">
                  <c:v>31.7</c:v>
                </c:pt>
                <c:pt idx="1">
                  <c:v>32.299999999999997</c:v>
                </c:pt>
                <c:pt idx="2">
                  <c:v>31.3</c:v>
                </c:pt>
                <c:pt idx="3">
                  <c:v>29.3</c:v>
                </c:pt>
                <c:pt idx="4">
                  <c:v>27.6</c:v>
                </c:pt>
                <c:pt idx="5">
                  <c:v>26.2</c:v>
                </c:pt>
                <c:pt idx="6">
                  <c:v>27.4</c:v>
                </c:pt>
                <c:pt idx="7">
                  <c:v>25.1</c:v>
                </c:pt>
                <c:pt idx="8">
                  <c:v>24.2</c:v>
                </c:pt>
              </c:numCache>
            </c:numRef>
          </c:val>
          <c:extLst>
            <c:ext xmlns:c16="http://schemas.microsoft.com/office/drawing/2014/chart" uri="{C3380CC4-5D6E-409C-BE32-E72D297353CC}">
              <c16:uniqueId val="{00000000-9654-48C0-92BA-3E19617AF49C}"/>
            </c:ext>
          </c:extLst>
        </c:ser>
        <c:ser>
          <c:idx val="1"/>
          <c:order val="1"/>
          <c:tx>
            <c:strRef>
              <c:f>'γραφημα 1'!$A$3</c:f>
              <c:strCache>
                <c:ptCount val="1"/>
                <c:pt idx="0">
                  <c:v>Σοβαρή αναπηρία 16 ετών και άνω</c:v>
                </c:pt>
              </c:strCache>
            </c:strRef>
          </c:tx>
          <c:spPr>
            <a:solidFill>
              <a:srgbClr val="FFC000"/>
            </a:solidFill>
            <a:ln>
              <a:noFill/>
            </a:ln>
            <a:effectLst/>
          </c:spPr>
          <c:invertIfNegative val="0"/>
          <c:dLbls>
            <c:dLbl>
              <c:idx val="0"/>
              <c:layout>
                <c:manualLayout>
                  <c:x val="-2.2760896779333104E-3"/>
                  <c:y val="-1.2195121951219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54-48C0-92BA-3E19617AF49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1'!$B$1:$J$1</c:f>
              <c:strCache>
                <c:ptCount val="9"/>
                <c:pt idx="0">
                  <c:v>2015</c:v>
                </c:pt>
                <c:pt idx="1">
                  <c:v>2016</c:v>
                </c:pt>
                <c:pt idx="2">
                  <c:v>2017</c:v>
                </c:pt>
                <c:pt idx="3">
                  <c:v>2018</c:v>
                </c:pt>
                <c:pt idx="4">
                  <c:v>2019</c:v>
                </c:pt>
                <c:pt idx="5">
                  <c:v>2020</c:v>
                </c:pt>
                <c:pt idx="6">
                  <c:v>2021</c:v>
                </c:pt>
                <c:pt idx="7">
                  <c:v>2022</c:v>
                </c:pt>
                <c:pt idx="8">
                  <c:v>2023</c:v>
                </c:pt>
              </c:strCache>
            </c:strRef>
          </c:cat>
          <c:val>
            <c:numRef>
              <c:f>'γραφημα 1'!$B$3:$J$3</c:f>
              <c:numCache>
                <c:formatCode>#,##0.##########</c:formatCode>
                <c:ptCount val="9"/>
                <c:pt idx="0">
                  <c:v>33.1</c:v>
                </c:pt>
                <c:pt idx="1">
                  <c:v>31.4</c:v>
                </c:pt>
                <c:pt idx="2">
                  <c:v>34.4</c:v>
                </c:pt>
                <c:pt idx="3">
                  <c:v>34.5</c:v>
                </c:pt>
                <c:pt idx="4">
                  <c:v>36.1</c:v>
                </c:pt>
                <c:pt idx="5">
                  <c:v>31.9</c:v>
                </c:pt>
                <c:pt idx="6">
                  <c:v>32.200000000000003</c:v>
                </c:pt>
                <c:pt idx="7">
                  <c:v>35.1</c:v>
                </c:pt>
                <c:pt idx="8">
                  <c:v>34.1</c:v>
                </c:pt>
              </c:numCache>
            </c:numRef>
          </c:val>
          <c:extLst>
            <c:ext xmlns:c16="http://schemas.microsoft.com/office/drawing/2014/chart" uri="{C3380CC4-5D6E-409C-BE32-E72D297353CC}">
              <c16:uniqueId val="{00000001-9654-48C0-92BA-3E19617AF49C}"/>
            </c:ext>
          </c:extLst>
        </c:ser>
        <c:dLbls>
          <c:showLegendKey val="0"/>
          <c:showVal val="0"/>
          <c:showCatName val="0"/>
          <c:showSerName val="0"/>
          <c:showPercent val="0"/>
          <c:showBubbleSize val="0"/>
        </c:dLbls>
        <c:gapWidth val="219"/>
        <c:overlap val="-27"/>
        <c:axId val="1806202575"/>
        <c:axId val="1806212175"/>
      </c:barChart>
      <c:lineChart>
        <c:grouping val="standard"/>
        <c:varyColors val="0"/>
        <c:ser>
          <c:idx val="2"/>
          <c:order val="2"/>
          <c:tx>
            <c:strRef>
              <c:f>'γραφημα 1'!$A$4</c:f>
              <c:strCache>
                <c:ptCount val="1"/>
                <c:pt idx="0">
                  <c:v>Χάσμα φτώχειας και κοινωνικού αποκλεισμού</c:v>
                </c:pt>
              </c:strCache>
            </c:strRef>
          </c:tx>
          <c:spPr>
            <a:ln w="28575" cap="rnd">
              <a:solidFill>
                <a:srgbClr val="FF0000"/>
              </a:solidFill>
              <a:round/>
            </a:ln>
            <a:effectLst/>
          </c:spPr>
          <c:marker>
            <c:symbol val="none"/>
          </c:marker>
          <c:cat>
            <c:strRef>
              <c:f>'γραφημα 1'!$B$1:$J$1</c:f>
              <c:strCache>
                <c:ptCount val="9"/>
                <c:pt idx="0">
                  <c:v>2015</c:v>
                </c:pt>
                <c:pt idx="1">
                  <c:v>2016</c:v>
                </c:pt>
                <c:pt idx="2">
                  <c:v>2017</c:v>
                </c:pt>
                <c:pt idx="3">
                  <c:v>2018</c:v>
                </c:pt>
                <c:pt idx="4">
                  <c:v>2019</c:v>
                </c:pt>
                <c:pt idx="5">
                  <c:v>2020</c:v>
                </c:pt>
                <c:pt idx="6">
                  <c:v>2021</c:v>
                </c:pt>
                <c:pt idx="7">
                  <c:v>2022</c:v>
                </c:pt>
                <c:pt idx="8">
                  <c:v>2023</c:v>
                </c:pt>
              </c:strCache>
            </c:strRef>
          </c:cat>
          <c:val>
            <c:numRef>
              <c:f>'γραφημα 1'!$B$4:$J$4</c:f>
              <c:numCache>
                <c:formatCode>#,##0.##########</c:formatCode>
                <c:ptCount val="9"/>
                <c:pt idx="0">
                  <c:v>1.4000000000000021</c:v>
                </c:pt>
                <c:pt idx="1">
                  <c:v>-0.89999999999999858</c:v>
                </c:pt>
                <c:pt idx="2">
                  <c:v>3.0999999999999979</c:v>
                </c:pt>
                <c:pt idx="3">
                  <c:v>5.1999999999999993</c:v>
                </c:pt>
                <c:pt idx="4">
                  <c:v>8.5</c:v>
                </c:pt>
                <c:pt idx="5">
                  <c:v>5.6999999999999993</c:v>
                </c:pt>
                <c:pt idx="6">
                  <c:v>4.8000000000000043</c:v>
                </c:pt>
                <c:pt idx="7">
                  <c:v>10</c:v>
                </c:pt>
                <c:pt idx="8">
                  <c:v>9.9000000000000021</c:v>
                </c:pt>
              </c:numCache>
            </c:numRef>
          </c:val>
          <c:smooth val="0"/>
          <c:extLst>
            <c:ext xmlns:c16="http://schemas.microsoft.com/office/drawing/2014/chart" uri="{C3380CC4-5D6E-409C-BE32-E72D297353CC}">
              <c16:uniqueId val="{00000002-9654-48C0-92BA-3E19617AF49C}"/>
            </c:ext>
          </c:extLst>
        </c:ser>
        <c:dLbls>
          <c:showLegendKey val="0"/>
          <c:showVal val="0"/>
          <c:showCatName val="0"/>
          <c:showSerName val="0"/>
          <c:showPercent val="0"/>
          <c:showBubbleSize val="0"/>
        </c:dLbls>
        <c:marker val="1"/>
        <c:smooth val="0"/>
        <c:axId val="1806202575"/>
        <c:axId val="1806212175"/>
      </c:lineChart>
      <c:catAx>
        <c:axId val="1806202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806212175"/>
        <c:crosses val="autoZero"/>
        <c:auto val="1"/>
        <c:lblAlgn val="ctr"/>
        <c:lblOffset val="100"/>
        <c:noMultiLvlLbl val="0"/>
      </c:catAx>
      <c:valAx>
        <c:axId val="1806212175"/>
        <c:scaling>
          <c:orientation val="minMax"/>
        </c:scaling>
        <c:delete val="1"/>
        <c:axPos val="l"/>
        <c:majorGridlines>
          <c:spPr>
            <a:ln w="9525" cap="flat" cmpd="sng" algn="ctr">
              <a:solidFill>
                <a:schemeClr val="bg1">
                  <a:lumMod val="95000"/>
                </a:schemeClr>
              </a:solidFill>
              <a:round/>
            </a:ln>
            <a:effectLst/>
          </c:spPr>
        </c:majorGridlines>
        <c:numFmt formatCode="#,##0.##########" sourceLinked="1"/>
        <c:majorTickMark val="none"/>
        <c:minorTickMark val="none"/>
        <c:tickLblPos val="nextTo"/>
        <c:crossAx val="180620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'γράφημα 2'!$A$15</c:f>
              <c:strCache>
                <c:ptCount val="1"/>
                <c:pt idx="0">
                  <c:v>Σοβαρή αναπηρία 16 έως 64 ετών</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2'!$B$14:$J$14</c:f>
              <c:strCache>
                <c:ptCount val="9"/>
                <c:pt idx="0">
                  <c:v>2015</c:v>
                </c:pt>
                <c:pt idx="1">
                  <c:v>2016</c:v>
                </c:pt>
                <c:pt idx="2">
                  <c:v>2017</c:v>
                </c:pt>
                <c:pt idx="3">
                  <c:v>2018</c:v>
                </c:pt>
                <c:pt idx="4">
                  <c:v>2019</c:v>
                </c:pt>
                <c:pt idx="5">
                  <c:v>2020</c:v>
                </c:pt>
                <c:pt idx="6">
                  <c:v>2021</c:v>
                </c:pt>
                <c:pt idx="7">
                  <c:v>2022</c:v>
                </c:pt>
                <c:pt idx="8">
                  <c:v>2023</c:v>
                </c:pt>
              </c:strCache>
            </c:strRef>
          </c:cat>
          <c:val>
            <c:numRef>
              <c:f>'γράφημα 2'!$B$15:$J$15</c:f>
              <c:numCache>
                <c:formatCode>#,##0.##########</c:formatCode>
                <c:ptCount val="9"/>
                <c:pt idx="0" formatCode="#,##0.0">
                  <c:v>52</c:v>
                </c:pt>
                <c:pt idx="1">
                  <c:v>53.2</c:v>
                </c:pt>
                <c:pt idx="2">
                  <c:v>54.6</c:v>
                </c:pt>
                <c:pt idx="3">
                  <c:v>57.4</c:v>
                </c:pt>
                <c:pt idx="4" formatCode="#,##0.0">
                  <c:v>56</c:v>
                </c:pt>
                <c:pt idx="5">
                  <c:v>49.8</c:v>
                </c:pt>
                <c:pt idx="6">
                  <c:v>50.6</c:v>
                </c:pt>
                <c:pt idx="7">
                  <c:v>50.7</c:v>
                </c:pt>
                <c:pt idx="8">
                  <c:v>47.9</c:v>
                </c:pt>
              </c:numCache>
            </c:numRef>
          </c:val>
          <c:extLst>
            <c:ext xmlns:c16="http://schemas.microsoft.com/office/drawing/2014/chart" uri="{C3380CC4-5D6E-409C-BE32-E72D297353CC}">
              <c16:uniqueId val="{00000000-DED9-4A80-81E3-7D62DEAAAC59}"/>
            </c:ext>
          </c:extLst>
        </c:ser>
        <c:ser>
          <c:idx val="1"/>
          <c:order val="1"/>
          <c:tx>
            <c:strRef>
              <c:f>'γράφημα 2'!$A$16</c:f>
              <c:strCache>
                <c:ptCount val="1"/>
                <c:pt idx="0">
                  <c:v>Σοβαρή αναπηρία 65 και άνω</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2'!$B$14:$J$14</c:f>
              <c:strCache>
                <c:ptCount val="9"/>
                <c:pt idx="0">
                  <c:v>2015</c:v>
                </c:pt>
                <c:pt idx="1">
                  <c:v>2016</c:v>
                </c:pt>
                <c:pt idx="2">
                  <c:v>2017</c:v>
                </c:pt>
                <c:pt idx="3">
                  <c:v>2018</c:v>
                </c:pt>
                <c:pt idx="4">
                  <c:v>2019</c:v>
                </c:pt>
                <c:pt idx="5">
                  <c:v>2020</c:v>
                </c:pt>
                <c:pt idx="6">
                  <c:v>2021</c:v>
                </c:pt>
                <c:pt idx="7">
                  <c:v>2022</c:v>
                </c:pt>
                <c:pt idx="8">
                  <c:v>2023</c:v>
                </c:pt>
              </c:strCache>
            </c:strRef>
          </c:cat>
          <c:val>
            <c:numRef>
              <c:f>'γράφημα 2'!$B$16:$J$16</c:f>
              <c:numCache>
                <c:formatCode>#,##0.##########</c:formatCode>
                <c:ptCount val="9"/>
                <c:pt idx="0">
                  <c:v>22.4</c:v>
                </c:pt>
                <c:pt idx="1">
                  <c:v>19.3</c:v>
                </c:pt>
                <c:pt idx="2" formatCode="#,##0.0">
                  <c:v>23</c:v>
                </c:pt>
                <c:pt idx="3">
                  <c:v>23.4</c:v>
                </c:pt>
                <c:pt idx="4">
                  <c:v>25.6</c:v>
                </c:pt>
                <c:pt idx="5">
                  <c:v>23.6</c:v>
                </c:pt>
                <c:pt idx="6">
                  <c:v>22.7</c:v>
                </c:pt>
                <c:pt idx="7">
                  <c:v>27.4</c:v>
                </c:pt>
                <c:pt idx="8">
                  <c:v>27.8</c:v>
                </c:pt>
              </c:numCache>
            </c:numRef>
          </c:val>
          <c:extLst>
            <c:ext xmlns:c16="http://schemas.microsoft.com/office/drawing/2014/chart" uri="{C3380CC4-5D6E-409C-BE32-E72D297353CC}">
              <c16:uniqueId val="{00000001-DED9-4A80-81E3-7D62DEAAAC59}"/>
            </c:ext>
          </c:extLst>
        </c:ser>
        <c:dLbls>
          <c:showLegendKey val="0"/>
          <c:showVal val="0"/>
          <c:showCatName val="0"/>
          <c:showSerName val="0"/>
          <c:showPercent val="0"/>
          <c:showBubbleSize val="0"/>
        </c:dLbls>
        <c:gapWidth val="219"/>
        <c:overlap val="-27"/>
        <c:axId val="66706335"/>
        <c:axId val="66714495"/>
      </c:barChart>
      <c:catAx>
        <c:axId val="6670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66714495"/>
        <c:crosses val="autoZero"/>
        <c:auto val="1"/>
        <c:lblAlgn val="ctr"/>
        <c:lblOffset val="100"/>
        <c:noMultiLvlLbl val="0"/>
      </c:catAx>
      <c:valAx>
        <c:axId val="66714495"/>
        <c:scaling>
          <c:orientation val="minMax"/>
          <c:max val="60"/>
        </c:scaling>
        <c:delete val="1"/>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crossAx val="6670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'γράφημα 3'!$A$15</c:f>
              <c:strCache>
                <c:ptCount val="1"/>
                <c:pt idx="0">
                  <c:v>Σοβαρή αναπηρία 16 έως 64 ετών</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3'!$B$14:$J$14</c:f>
              <c:strCache>
                <c:ptCount val="9"/>
                <c:pt idx="0">
                  <c:v>2015</c:v>
                </c:pt>
                <c:pt idx="1">
                  <c:v>2016</c:v>
                </c:pt>
                <c:pt idx="2">
                  <c:v>2017</c:v>
                </c:pt>
                <c:pt idx="3">
                  <c:v>2018</c:v>
                </c:pt>
                <c:pt idx="4">
                  <c:v>2019</c:v>
                </c:pt>
                <c:pt idx="5">
                  <c:v>2020</c:v>
                </c:pt>
                <c:pt idx="6">
                  <c:v>2021</c:v>
                </c:pt>
                <c:pt idx="7">
                  <c:v>2022</c:v>
                </c:pt>
                <c:pt idx="8">
                  <c:v>2023</c:v>
                </c:pt>
              </c:strCache>
            </c:strRef>
          </c:cat>
          <c:val>
            <c:numRef>
              <c:f>'γράφημα 3'!$B$15:$J$15</c:f>
              <c:numCache>
                <c:formatCode>#,##0.##########</c:formatCode>
                <c:ptCount val="9"/>
                <c:pt idx="0" formatCode="#,##0.0">
                  <c:v>52</c:v>
                </c:pt>
                <c:pt idx="1">
                  <c:v>53.2</c:v>
                </c:pt>
                <c:pt idx="2">
                  <c:v>54.6</c:v>
                </c:pt>
                <c:pt idx="3">
                  <c:v>57.4</c:v>
                </c:pt>
                <c:pt idx="4" formatCode="#,##0.0">
                  <c:v>56</c:v>
                </c:pt>
                <c:pt idx="5">
                  <c:v>49.8</c:v>
                </c:pt>
                <c:pt idx="6">
                  <c:v>50.6</c:v>
                </c:pt>
                <c:pt idx="7">
                  <c:v>50.7</c:v>
                </c:pt>
                <c:pt idx="8">
                  <c:v>47.9</c:v>
                </c:pt>
              </c:numCache>
            </c:numRef>
          </c:val>
          <c:extLst>
            <c:ext xmlns:c16="http://schemas.microsoft.com/office/drawing/2014/chart" uri="{C3380CC4-5D6E-409C-BE32-E72D297353CC}">
              <c16:uniqueId val="{00000000-BA96-473F-ABDF-74944129EFC6}"/>
            </c:ext>
          </c:extLst>
        </c:ser>
        <c:ser>
          <c:idx val="1"/>
          <c:order val="1"/>
          <c:tx>
            <c:strRef>
              <c:f>'γράφημα 3'!$A$16</c:f>
              <c:strCache>
                <c:ptCount val="1"/>
                <c:pt idx="0">
                  <c:v>Χωρίς αναπηρία 16 έως 64 ετών</c:v>
                </c:pt>
              </c:strCache>
            </c:strRef>
          </c:tx>
          <c:spPr>
            <a:solidFill>
              <a:srgbClr val="00B0F0"/>
            </a:solidFill>
            <a:ln>
              <a:noFill/>
            </a:ln>
            <a:effectLst/>
          </c:spPr>
          <c:invertIfNegative val="0"/>
          <c:dLbls>
            <c:dLbl>
              <c:idx val="0"/>
              <c:layout>
                <c:manualLayout>
                  <c:x val="6.82826903379993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96-473F-ABDF-74944129EFC6}"/>
                </c:ext>
              </c:extLst>
            </c:dLbl>
            <c:dLbl>
              <c:idx val="1"/>
              <c:layout>
                <c:manualLayout>
                  <c:x val="9.10435871173324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96-473F-ABDF-74944129EFC6}"/>
                </c:ext>
              </c:extLst>
            </c:dLbl>
            <c:dLbl>
              <c:idx val="2"/>
              <c:layout>
                <c:manualLayout>
                  <c:x val="9.10435871173324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96-473F-ABDF-74944129EFC6}"/>
                </c:ext>
              </c:extLst>
            </c:dLbl>
            <c:dLbl>
              <c:idx val="3"/>
              <c:layout>
                <c:manualLayout>
                  <c:x val="6.8282690337999321E-3"/>
                  <c:y val="3.395022508805331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96-473F-ABDF-74944129EFC6}"/>
                </c:ext>
              </c:extLst>
            </c:dLbl>
            <c:dLbl>
              <c:idx val="4"/>
              <c:layout>
                <c:manualLayout>
                  <c:x val="1.1380448389666552E-2"/>
                  <c:y val="-3.7037037037037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96-473F-ABDF-74944129EFC6}"/>
                </c:ext>
              </c:extLst>
            </c:dLbl>
            <c:dLbl>
              <c:idx val="5"/>
              <c:layout>
                <c:manualLayout>
                  <c:x val="9.1043587117332417E-3"/>
                  <c:y val="-6.790045017610662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A96-473F-ABDF-74944129EFC6}"/>
                </c:ext>
              </c:extLst>
            </c:dLbl>
            <c:dLbl>
              <c:idx val="6"/>
              <c:layout>
                <c:manualLayout>
                  <c:x val="9.104358711733158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96-473F-ABDF-74944129EFC6}"/>
                </c:ext>
              </c:extLst>
            </c:dLbl>
            <c:dLbl>
              <c:idx val="7"/>
              <c:layout>
                <c:manualLayout>
                  <c:x val="9.10435871173324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A96-473F-ABDF-74944129EFC6}"/>
                </c:ext>
              </c:extLst>
            </c:dLbl>
            <c:dLbl>
              <c:idx val="8"/>
              <c:layout>
                <c:manualLayout>
                  <c:x val="1.36565380675998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A96-473F-ABDF-74944129EFC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3'!$B$14:$J$14</c:f>
              <c:strCache>
                <c:ptCount val="9"/>
                <c:pt idx="0">
                  <c:v>2015</c:v>
                </c:pt>
                <c:pt idx="1">
                  <c:v>2016</c:v>
                </c:pt>
                <c:pt idx="2">
                  <c:v>2017</c:v>
                </c:pt>
                <c:pt idx="3">
                  <c:v>2018</c:v>
                </c:pt>
                <c:pt idx="4">
                  <c:v>2019</c:v>
                </c:pt>
                <c:pt idx="5">
                  <c:v>2020</c:v>
                </c:pt>
                <c:pt idx="6">
                  <c:v>2021</c:v>
                </c:pt>
                <c:pt idx="7">
                  <c:v>2022</c:v>
                </c:pt>
                <c:pt idx="8">
                  <c:v>2023</c:v>
                </c:pt>
              </c:strCache>
            </c:strRef>
          </c:cat>
          <c:val>
            <c:numRef>
              <c:f>'γράφημα 3'!$B$16:$J$16</c:f>
              <c:numCache>
                <c:formatCode>#,##0.0</c:formatCode>
                <c:ptCount val="9"/>
                <c:pt idx="0" formatCode="#,##0.##########">
                  <c:v>34.4</c:v>
                </c:pt>
                <c:pt idx="1">
                  <c:v>35</c:v>
                </c:pt>
                <c:pt idx="2" formatCode="#,##0.##########">
                  <c:v>33.9</c:v>
                </c:pt>
                <c:pt idx="3" formatCode="#,##0.##########">
                  <c:v>31.2</c:v>
                </c:pt>
                <c:pt idx="4" formatCode="#,##0.##########">
                  <c:v>29.4</c:v>
                </c:pt>
                <c:pt idx="5" formatCode="#,##0.##########">
                  <c:v>27.7</c:v>
                </c:pt>
                <c:pt idx="6" formatCode="#,##0.##########">
                  <c:v>29.1</c:v>
                </c:pt>
                <c:pt idx="7" formatCode="#,##0.##########">
                  <c:v>26.2</c:v>
                </c:pt>
                <c:pt idx="8" formatCode="#,##0.##########">
                  <c:v>24.9</c:v>
                </c:pt>
              </c:numCache>
            </c:numRef>
          </c:val>
          <c:extLst>
            <c:ext xmlns:c16="http://schemas.microsoft.com/office/drawing/2014/chart" uri="{C3380CC4-5D6E-409C-BE32-E72D297353CC}">
              <c16:uniqueId val="{00000001-BA96-473F-ABDF-74944129EFC6}"/>
            </c:ext>
          </c:extLst>
        </c:ser>
        <c:dLbls>
          <c:showLegendKey val="0"/>
          <c:showVal val="0"/>
          <c:showCatName val="0"/>
          <c:showSerName val="0"/>
          <c:showPercent val="0"/>
          <c:showBubbleSize val="0"/>
        </c:dLbls>
        <c:gapWidth val="219"/>
        <c:overlap val="-27"/>
        <c:axId val="66703935"/>
        <c:axId val="66704415"/>
      </c:barChart>
      <c:lineChart>
        <c:grouping val="standard"/>
        <c:varyColors val="0"/>
        <c:ser>
          <c:idx val="2"/>
          <c:order val="2"/>
          <c:tx>
            <c:strRef>
              <c:f>'γράφημα 3'!$A$17</c:f>
              <c:strCache>
                <c:ptCount val="1"/>
                <c:pt idx="0">
                  <c:v>Χάσμα</c:v>
                </c:pt>
              </c:strCache>
            </c:strRef>
          </c:tx>
          <c:spPr>
            <a:ln w="28575" cap="rnd">
              <a:solidFill>
                <a:srgbClr val="FF0000"/>
              </a:solidFill>
              <a:round/>
            </a:ln>
            <a:effectLst/>
          </c:spPr>
          <c:marker>
            <c:symbol val="none"/>
          </c:marker>
          <c:cat>
            <c:strRef>
              <c:f>'γράφημα 3'!$B$14:$J$14</c:f>
              <c:strCache>
                <c:ptCount val="9"/>
                <c:pt idx="0">
                  <c:v>2015</c:v>
                </c:pt>
                <c:pt idx="1">
                  <c:v>2016</c:v>
                </c:pt>
                <c:pt idx="2">
                  <c:v>2017</c:v>
                </c:pt>
                <c:pt idx="3">
                  <c:v>2018</c:v>
                </c:pt>
                <c:pt idx="4">
                  <c:v>2019</c:v>
                </c:pt>
                <c:pt idx="5">
                  <c:v>2020</c:v>
                </c:pt>
                <c:pt idx="6">
                  <c:v>2021</c:v>
                </c:pt>
                <c:pt idx="7">
                  <c:v>2022</c:v>
                </c:pt>
                <c:pt idx="8">
                  <c:v>2023</c:v>
                </c:pt>
              </c:strCache>
            </c:strRef>
          </c:cat>
          <c:val>
            <c:numRef>
              <c:f>'γράφημα 3'!$B$17:$J$17</c:f>
              <c:numCache>
                <c:formatCode>#,##0.0</c:formatCode>
                <c:ptCount val="9"/>
                <c:pt idx="0">
                  <c:v>17.600000000000001</c:v>
                </c:pt>
                <c:pt idx="1">
                  <c:v>18.200000000000003</c:v>
                </c:pt>
                <c:pt idx="2">
                  <c:v>20.700000000000003</c:v>
                </c:pt>
                <c:pt idx="3">
                  <c:v>26.2</c:v>
                </c:pt>
                <c:pt idx="4">
                  <c:v>26.6</c:v>
                </c:pt>
                <c:pt idx="5">
                  <c:v>22.099999999999998</c:v>
                </c:pt>
                <c:pt idx="6">
                  <c:v>21.5</c:v>
                </c:pt>
                <c:pt idx="7">
                  <c:v>24.500000000000004</c:v>
                </c:pt>
                <c:pt idx="8">
                  <c:v>23</c:v>
                </c:pt>
              </c:numCache>
            </c:numRef>
          </c:val>
          <c:smooth val="0"/>
          <c:extLst>
            <c:ext xmlns:c16="http://schemas.microsoft.com/office/drawing/2014/chart" uri="{C3380CC4-5D6E-409C-BE32-E72D297353CC}">
              <c16:uniqueId val="{00000002-BA96-473F-ABDF-74944129EFC6}"/>
            </c:ext>
          </c:extLst>
        </c:ser>
        <c:dLbls>
          <c:showLegendKey val="0"/>
          <c:showVal val="0"/>
          <c:showCatName val="0"/>
          <c:showSerName val="0"/>
          <c:showPercent val="0"/>
          <c:showBubbleSize val="0"/>
        </c:dLbls>
        <c:marker val="1"/>
        <c:smooth val="0"/>
        <c:axId val="66703935"/>
        <c:axId val="66704415"/>
      </c:lineChart>
      <c:catAx>
        <c:axId val="6670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66704415"/>
        <c:crosses val="autoZero"/>
        <c:auto val="1"/>
        <c:lblAlgn val="ctr"/>
        <c:lblOffset val="100"/>
        <c:noMultiLvlLbl val="0"/>
      </c:catAx>
      <c:valAx>
        <c:axId val="66704415"/>
        <c:scaling>
          <c:orientation val="minMax"/>
          <c:max val="60"/>
        </c:scaling>
        <c:delete val="1"/>
        <c:axPos val="l"/>
        <c:majorGridlines>
          <c:spPr>
            <a:ln w="9525" cap="flat" cmpd="sng" algn="ctr">
              <a:solidFill>
                <a:schemeClr val="bg1">
                  <a:lumMod val="95000"/>
                </a:schemeClr>
              </a:solidFill>
              <a:round/>
            </a:ln>
            <a:effectLst/>
          </c:spPr>
        </c:majorGridlines>
        <c:numFmt formatCode="#,##0.0" sourceLinked="1"/>
        <c:majorTickMark val="none"/>
        <c:minorTickMark val="none"/>
        <c:tickLblPos val="nextTo"/>
        <c:crossAx val="66703935"/>
        <c:crosses val="autoZero"/>
        <c:crossBetween val="between"/>
      </c:valAx>
      <c:spPr>
        <a:noFill/>
        <a:ln>
          <a:noFill/>
        </a:ln>
        <a:effectLst/>
      </c:spPr>
    </c:plotArea>
    <c:legend>
      <c:legendPos val="b"/>
      <c:layout>
        <c:manualLayout>
          <c:xMode val="edge"/>
          <c:yMode val="edge"/>
          <c:x val="0.10563314273322526"/>
          <c:y val="0.8070507245530073"/>
          <c:w val="0.82742705983875608"/>
          <c:h val="0.1802293263267891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'γράφημα 4'!$A$12</c:f>
              <c:strCache>
                <c:ptCount val="1"/>
                <c:pt idx="0">
                  <c:v>Σοβαρή αναπηρία 16 ετών και άνω</c:v>
                </c:pt>
              </c:strCache>
            </c:strRef>
          </c:tx>
          <c:spPr>
            <a:solidFill>
              <a:srgbClr val="FFC000"/>
            </a:solidFill>
            <a:ln>
              <a:noFill/>
            </a:ln>
            <a:effectLst/>
          </c:spPr>
          <c:invertIfNegative val="0"/>
          <c:dLbls>
            <c:dLbl>
              <c:idx val="0"/>
              <c:layout>
                <c:manualLayout>
                  <c:x val="2.2760896779333052E-3"/>
                  <c:y val="-3.0237580993520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F2-4058-9B0F-1AFDC9D493E1}"/>
                </c:ext>
              </c:extLst>
            </c:dLbl>
            <c:dLbl>
              <c:idx val="2"/>
              <c:layout>
                <c:manualLayout>
                  <c:x val="-9.1043587117332833E-3"/>
                  <c:y val="4.31965442764578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F2-4058-9B0F-1AFDC9D493E1}"/>
                </c:ext>
              </c:extLst>
            </c:dLbl>
            <c:dLbl>
              <c:idx val="4"/>
              <c:layout>
                <c:manualLayout>
                  <c:x val="-2.2760896779333104E-3"/>
                  <c:y val="-2.591792656587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F2-4058-9B0F-1AFDC9D493E1}"/>
                </c:ext>
              </c:extLst>
            </c:dLbl>
            <c:dLbl>
              <c:idx val="7"/>
              <c:layout>
                <c:manualLayout>
                  <c:x val="0"/>
                  <c:y val="-3.4557235421166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BF2-4058-9B0F-1AFDC9D493E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'γράφημα 4'!$B$11:$K$11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'γράφημα 4'!$B$12:$K$12</c:f>
              <c:numCache>
                <c:formatCode>#,##0.##########</c:formatCode>
                <c:ptCount val="10"/>
                <c:pt idx="0">
                  <c:v>22.4</c:v>
                </c:pt>
                <c:pt idx="1">
                  <c:v>21.7</c:v>
                </c:pt>
                <c:pt idx="2">
                  <c:v>18.5</c:v>
                </c:pt>
                <c:pt idx="3">
                  <c:v>20.5</c:v>
                </c:pt>
                <c:pt idx="4">
                  <c:v>18.399999999999999</c:v>
                </c:pt>
                <c:pt idx="5">
                  <c:v>18.7</c:v>
                </c:pt>
                <c:pt idx="6">
                  <c:v>19.5</c:v>
                </c:pt>
                <c:pt idx="7">
                  <c:v>19.2</c:v>
                </c:pt>
                <c:pt idx="8">
                  <c:v>22.7</c:v>
                </c:pt>
                <c:pt idx="9">
                  <c:v>21.5</c:v>
                </c:pt>
              </c:numCache>
            </c:numRef>
          </c:val>
          <c:extLst>
            <c:ext xmlns:c16="http://schemas.microsoft.com/office/drawing/2014/chart" uri="{C3380CC4-5D6E-409C-BE32-E72D297353CC}">
              <c16:uniqueId val="{00000000-8BF2-4058-9B0F-1AFDC9D493E1}"/>
            </c:ext>
          </c:extLst>
        </c:ser>
        <c:ser>
          <c:idx val="1"/>
          <c:order val="1"/>
          <c:tx>
            <c:strRef>
              <c:f>'γράφημα 4'!$A$13</c:f>
              <c:strCache>
                <c:ptCount val="1"/>
                <c:pt idx="0">
                  <c:v>Χωρίς αναπηρία 16 ετών και άνω</c:v>
                </c:pt>
              </c:strCache>
            </c:strRef>
          </c:tx>
          <c:spPr>
            <a:solidFill>
              <a:srgbClr val="00B0F0"/>
            </a:solidFill>
            <a:ln>
              <a:noFill/>
            </a:ln>
            <a:effectLst/>
          </c:spPr>
          <c:invertIfNegative val="0"/>
          <c:dLbls>
            <c:dLbl>
              <c:idx val="0"/>
              <c:layout>
                <c:manualLayout>
                  <c:x val="6.8282690337999209E-3"/>
                  <c:y val="1.7278617710583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BF2-4058-9B0F-1AFDC9D493E1}"/>
                </c:ext>
              </c:extLst>
            </c:dLbl>
            <c:dLbl>
              <c:idx val="1"/>
              <c:layout>
                <c:manualLayout>
                  <c:x val="9.1043587117332209E-3"/>
                  <c:y val="8.6393088552915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F2-4058-9B0F-1AFDC9D493E1}"/>
                </c:ext>
              </c:extLst>
            </c:dLbl>
            <c:dLbl>
              <c:idx val="3"/>
              <c:layout>
                <c:manualLayout>
                  <c:x val="9.1043587117332E-3"/>
                  <c:y val="1.7278617710583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F2-4058-9B0F-1AFDC9D493E1}"/>
                </c:ext>
              </c:extLst>
            </c:dLbl>
            <c:dLbl>
              <c:idx val="4"/>
              <c:layout>
                <c:manualLayout>
                  <c:x val="4.552179355866537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F2-4058-9B0F-1AFDC9D493E1}"/>
                </c:ext>
              </c:extLst>
            </c:dLbl>
            <c:dLbl>
              <c:idx val="5"/>
              <c:layout>
                <c:manualLayout>
                  <c:x val="6.8282690337999321E-3"/>
                  <c:y val="1.2958963282937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F2-4058-9B0F-1AFDC9D493E1}"/>
                </c:ext>
              </c:extLst>
            </c:dLbl>
            <c:dLbl>
              <c:idx val="6"/>
              <c:layout>
                <c:manualLayout>
                  <c:x val="1.1380448389666469E-2"/>
                  <c:y val="4.31965442764574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BF2-4058-9B0F-1AFDC9D493E1}"/>
                </c:ext>
              </c:extLst>
            </c:dLbl>
            <c:dLbl>
              <c:idx val="7"/>
              <c:layout>
                <c:manualLayout>
                  <c:x val="9.1043587117331584E-3"/>
                  <c:y val="-1.979818741635938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F2-4058-9B0F-1AFDC9D493E1}"/>
                </c:ext>
              </c:extLst>
            </c:dLbl>
            <c:dLbl>
              <c:idx val="8"/>
              <c:layout>
                <c:manualLayout>
                  <c:x val="9.1043587117332417E-3"/>
                  <c:y val="8.6393088552915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BF2-4058-9B0F-1AFDC9D493E1}"/>
                </c:ext>
              </c:extLst>
            </c:dLbl>
            <c:dLbl>
              <c:idx val="9"/>
              <c:layout>
                <c:manualLayout>
                  <c:x val="9.1043587117332417E-3"/>
                  <c:y val="-3.95963748327187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BF2-4058-9B0F-1AFDC9D493E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4'!$B$11:$K$11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'γράφημα 4'!$B$13:$K$13</c:f>
              <c:numCache>
                <c:formatCode>#,##0.##########</c:formatCode>
                <c:ptCount val="10"/>
                <c:pt idx="0">
                  <c:v>21.9</c:v>
                </c:pt>
                <c:pt idx="1">
                  <c:v>20.399999999999999</c:v>
                </c:pt>
                <c:pt idx="2">
                  <c:v>20.7</c:v>
                </c:pt>
                <c:pt idx="3">
                  <c:v>19.5</c:v>
                </c:pt>
                <c:pt idx="4">
                  <c:v>18.100000000000001</c:v>
                </c:pt>
                <c:pt idx="5" formatCode="#,##0.0">
                  <c:v>17</c:v>
                </c:pt>
                <c:pt idx="6">
                  <c:v>16.899999999999999</c:v>
                </c:pt>
                <c:pt idx="7" formatCode="#,##0.0">
                  <c:v>19</c:v>
                </c:pt>
                <c:pt idx="8">
                  <c:v>17.7</c:v>
                </c:pt>
                <c:pt idx="9" formatCode="#,##0.0">
                  <c:v>18</c:v>
                </c:pt>
              </c:numCache>
            </c:numRef>
          </c:val>
          <c:extLst>
            <c:ext xmlns:c16="http://schemas.microsoft.com/office/drawing/2014/chart" uri="{C3380CC4-5D6E-409C-BE32-E72D297353CC}">
              <c16:uniqueId val="{00000001-8BF2-4058-9B0F-1AFDC9D493E1}"/>
            </c:ext>
          </c:extLst>
        </c:ser>
        <c:dLbls>
          <c:showLegendKey val="0"/>
          <c:showVal val="0"/>
          <c:showCatName val="0"/>
          <c:showSerName val="0"/>
          <c:showPercent val="0"/>
          <c:showBubbleSize val="0"/>
        </c:dLbls>
        <c:gapWidth val="219"/>
        <c:overlap val="-27"/>
        <c:axId val="239714847"/>
        <c:axId val="239715327"/>
      </c:barChart>
      <c:catAx>
        <c:axId val="239714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239715327"/>
        <c:crosses val="autoZero"/>
        <c:auto val="1"/>
        <c:lblAlgn val="ctr"/>
        <c:lblOffset val="100"/>
        <c:noMultiLvlLbl val="0"/>
      </c:catAx>
      <c:valAx>
        <c:axId val="239715327"/>
        <c:scaling>
          <c:orientation val="minMax"/>
        </c:scaling>
        <c:delete val="1"/>
        <c:axPos val="l"/>
        <c:majorGridlines>
          <c:spPr>
            <a:ln w="9525" cap="flat" cmpd="sng" algn="ctr">
              <a:solidFill>
                <a:schemeClr val="bg1">
                  <a:lumMod val="95000"/>
                </a:schemeClr>
              </a:solidFill>
              <a:round/>
            </a:ln>
            <a:effectLst/>
          </c:spPr>
        </c:majorGridlines>
        <c:numFmt formatCode="#,##0.##########" sourceLinked="1"/>
        <c:majorTickMark val="none"/>
        <c:minorTickMark val="none"/>
        <c:tickLblPos val="nextTo"/>
        <c:crossAx val="23971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'γράφημα 5'!$A$12</c:f>
              <c:strCache>
                <c:ptCount val="1"/>
                <c:pt idx="0">
                  <c:v>Σοβαρή αναπηρία 16 έως 64 ετών</c:v>
                </c:pt>
              </c:strCache>
            </c:strRef>
          </c:tx>
          <c:spPr>
            <a:ln w="28575" cap="rnd">
              <a:solidFill>
                <a:srgbClr val="FFC000"/>
              </a:solidFill>
              <a:round/>
            </a:ln>
            <a:effectLst/>
          </c:spPr>
          <c:marker>
            <c:symbol val="none"/>
          </c:marker>
          <c:dLbls>
            <c:dLbl>
              <c:idx val="0"/>
              <c:layout>
                <c:manualLayout>
                  <c:x val="-3.1865255491066349E-2"/>
                  <c:y val="-4.9382716049382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57-457B-9326-6CF9D3A19CAF}"/>
                </c:ext>
              </c:extLst>
            </c:dLbl>
            <c:dLbl>
              <c:idx val="1"/>
              <c:layout>
                <c:manualLayout>
                  <c:x val="-3.8693524524866282E-2"/>
                  <c:y val="-6.0778727445394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57-457B-9326-6CF9D3A19CAF}"/>
                </c:ext>
              </c:extLst>
            </c:dLbl>
            <c:dLbl>
              <c:idx val="2"/>
              <c:layout>
                <c:manualLayout>
                  <c:x val="-4.32457038807329E-2"/>
                  <c:y val="-6.8376068376068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57-457B-9326-6CF9D3A19CAF}"/>
                </c:ext>
              </c:extLst>
            </c:dLbl>
            <c:dLbl>
              <c:idx val="3"/>
              <c:layout>
                <c:manualLayout>
                  <c:x val="-4.32457038807329E-2"/>
                  <c:y val="-6.0778727445394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57-457B-9326-6CF9D3A19CAF}"/>
                </c:ext>
              </c:extLst>
            </c:dLbl>
            <c:dLbl>
              <c:idx val="4"/>
              <c:layout>
                <c:manualLayout>
                  <c:x val="-3.8693524524866282E-2"/>
                  <c:y val="-6.4577397910731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257-457B-9326-6CF9D3A19CAF}"/>
                </c:ext>
              </c:extLst>
            </c:dLbl>
            <c:dLbl>
              <c:idx val="5"/>
              <c:layout>
                <c:manualLayout>
                  <c:x val="-3.8693524524866282E-2"/>
                  <c:y val="-7.2174738841405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257-457B-9326-6CF9D3A19CAF}"/>
                </c:ext>
              </c:extLst>
            </c:dLbl>
            <c:dLbl>
              <c:idx val="6"/>
              <c:layout>
                <c:manualLayout>
                  <c:x val="-3.641743484693305E-2"/>
                  <c:y val="-5.3181386514719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257-457B-9326-6CF9D3A19CAF}"/>
                </c:ext>
              </c:extLst>
            </c:dLbl>
            <c:dLbl>
              <c:idx val="7"/>
              <c:layout>
                <c:manualLayout>
                  <c:x val="-4.0969614202799591E-2"/>
                  <c:y val="-4.5584045584045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257-457B-9326-6CF9D3A19CAF}"/>
                </c:ext>
              </c:extLst>
            </c:dLbl>
            <c:dLbl>
              <c:idx val="8"/>
              <c:layout>
                <c:manualLayout>
                  <c:x val="-4.0969614202799591E-2"/>
                  <c:y val="-4.9382716049382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257-457B-9326-6CF9D3A19CAF}"/>
                </c:ext>
              </c:extLst>
            </c:dLbl>
            <c:dLbl>
              <c:idx val="9"/>
              <c:layout>
                <c:manualLayout>
                  <c:x val="-3.4141345168999825E-2"/>
                  <c:y val="-6.0778727445394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257-457B-9326-6CF9D3A19CA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'γράφημα 5'!$B$11:$K$11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'γράφημα 5'!$B$12:$K$12</c:f>
              <c:numCache>
                <c:formatCode>#,##0.##########</c:formatCode>
                <c:ptCount val="10"/>
                <c:pt idx="0">
                  <c:v>29.5</c:v>
                </c:pt>
                <c:pt idx="1">
                  <c:v>27.9</c:v>
                </c:pt>
                <c:pt idx="2">
                  <c:v>24.8</c:v>
                </c:pt>
                <c:pt idx="3">
                  <c:v>29.4</c:v>
                </c:pt>
                <c:pt idx="4">
                  <c:v>29.1</c:v>
                </c:pt>
                <c:pt idx="5">
                  <c:v>26.9</c:v>
                </c:pt>
                <c:pt idx="6">
                  <c:v>26.6</c:v>
                </c:pt>
                <c:pt idx="7">
                  <c:v>25.9</c:v>
                </c:pt>
                <c:pt idx="8">
                  <c:v>27.4</c:v>
                </c:pt>
                <c:pt idx="9">
                  <c:v>24.2</c:v>
                </c:pt>
              </c:numCache>
            </c:numRef>
          </c:val>
          <c:smooth val="0"/>
          <c:extLst>
            <c:ext xmlns:c16="http://schemas.microsoft.com/office/drawing/2014/chart" uri="{C3380CC4-5D6E-409C-BE32-E72D297353CC}">
              <c16:uniqueId val="{00000000-A257-457B-9326-6CF9D3A19CAF}"/>
            </c:ext>
          </c:extLst>
        </c:ser>
        <c:ser>
          <c:idx val="1"/>
          <c:order val="1"/>
          <c:tx>
            <c:strRef>
              <c:f>'γράφημα 5'!$A$13</c:f>
              <c:strCache>
                <c:ptCount val="1"/>
                <c:pt idx="0">
                  <c:v>Σοβαρή αναπηρία 65 ετών και άνω</c:v>
                </c:pt>
              </c:strCache>
            </c:strRef>
          </c:tx>
          <c:spPr>
            <a:ln w="28575" cap="rnd">
              <a:solidFill>
                <a:srgbClr val="CC3300"/>
              </a:solidFill>
              <a:round/>
            </a:ln>
            <a:effectLst/>
          </c:spPr>
          <c:marker>
            <c:symbol val="none"/>
          </c:marker>
          <c:dLbls>
            <c:dLbl>
              <c:idx val="0"/>
              <c:layout>
                <c:manualLayout>
                  <c:x val="-3.641743484693296E-2"/>
                  <c:y val="3.0389363722696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257-457B-9326-6CF9D3A19CAF}"/>
                </c:ext>
              </c:extLst>
            </c:dLbl>
            <c:dLbl>
              <c:idx val="1"/>
              <c:layout>
                <c:manualLayout>
                  <c:x val="-4.7797883236599524E-2"/>
                  <c:y val="4.1785375118708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A257-457B-9326-6CF9D3A19CAF}"/>
                </c:ext>
              </c:extLst>
            </c:dLbl>
            <c:dLbl>
              <c:idx val="2"/>
              <c:layout>
                <c:manualLayout>
                  <c:x val="-3.8693524524866282E-2"/>
                  <c:y val="-3.4188034188034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A257-457B-9326-6CF9D3A19CAF}"/>
                </c:ext>
              </c:extLst>
            </c:dLbl>
            <c:dLbl>
              <c:idx val="3"/>
              <c:layout>
                <c:manualLayout>
                  <c:x val="-4.5521793558666208E-2"/>
                  <c:y val="-3.0389363722697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A257-457B-9326-6CF9D3A19CAF}"/>
                </c:ext>
              </c:extLst>
            </c:dLbl>
            <c:dLbl>
              <c:idx val="4"/>
              <c:layout>
                <c:manualLayout>
                  <c:x val="-4.32457038807329E-2"/>
                  <c:y val="-3.7986704653371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A257-457B-9326-6CF9D3A19CAF}"/>
                </c:ext>
              </c:extLst>
            </c:dLbl>
            <c:dLbl>
              <c:idx val="5"/>
              <c:layout>
                <c:manualLayout>
                  <c:x val="-3.4141345168999658E-2"/>
                  <c:y val="3.4188034188034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257-457B-9326-6CF9D3A19CAF}"/>
                </c:ext>
              </c:extLst>
            </c:dLbl>
            <c:dLbl>
              <c:idx val="6"/>
              <c:layout>
                <c:manualLayout>
                  <c:x val="-4.3245703880732983E-2"/>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A257-457B-9326-6CF9D3A19CAF}"/>
                </c:ext>
              </c:extLst>
            </c:dLbl>
            <c:dLbl>
              <c:idx val="7"/>
              <c:layout>
                <c:manualLayout>
                  <c:x val="-4.3245703880732983E-2"/>
                  <c:y val="3.0389363722697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A257-457B-9326-6CF9D3A19CAF}"/>
                </c:ext>
              </c:extLst>
            </c:dLbl>
            <c:dLbl>
              <c:idx val="8"/>
              <c:layout>
                <c:manualLayout>
                  <c:x val="-4.5521793558666208E-2"/>
                  <c:y val="-3.0389363722697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257-457B-9326-6CF9D3A19CAF}"/>
                </c:ext>
              </c:extLst>
            </c:dLbl>
            <c:dLbl>
              <c:idx val="9"/>
              <c:layout>
                <c:manualLayout>
                  <c:x val="-3.4141345168999825E-2"/>
                  <c:y val="-2.6590693257359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257-457B-9326-6CF9D3A19CA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5'!$B$11:$K$11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'γράφημα 5'!$B$13:$K$13</c:f>
              <c:numCache>
                <c:formatCode>#,##0.##########</c:formatCode>
                <c:ptCount val="10"/>
                <c:pt idx="0">
                  <c:v>18.3</c:v>
                </c:pt>
                <c:pt idx="1">
                  <c:v>18.100000000000001</c:v>
                </c:pt>
                <c:pt idx="2" formatCode="#,##0.0">
                  <c:v>15</c:v>
                </c:pt>
                <c:pt idx="3">
                  <c:v>15.4</c:v>
                </c:pt>
                <c:pt idx="4">
                  <c:v>13.2</c:v>
                </c:pt>
                <c:pt idx="5">
                  <c:v>14.4</c:v>
                </c:pt>
                <c:pt idx="6">
                  <c:v>16.3</c:v>
                </c:pt>
                <c:pt idx="7">
                  <c:v>15.8</c:v>
                </c:pt>
                <c:pt idx="8">
                  <c:v>20.399999999999999</c:v>
                </c:pt>
                <c:pt idx="9">
                  <c:v>20.3</c:v>
                </c:pt>
              </c:numCache>
            </c:numRef>
          </c:val>
          <c:smooth val="0"/>
          <c:extLst>
            <c:ext xmlns:c16="http://schemas.microsoft.com/office/drawing/2014/chart" uri="{C3380CC4-5D6E-409C-BE32-E72D297353CC}">
              <c16:uniqueId val="{00000001-A257-457B-9326-6CF9D3A19CAF}"/>
            </c:ext>
          </c:extLst>
        </c:ser>
        <c:ser>
          <c:idx val="2"/>
          <c:order val="2"/>
          <c:tx>
            <c:strRef>
              <c:f>'γράφημα 5'!$A$14</c:f>
              <c:strCache>
                <c:ptCount val="1"/>
                <c:pt idx="0">
                  <c:v>Χωρίς αναπηρία 65 ετών και άνω</c:v>
                </c:pt>
              </c:strCache>
            </c:strRef>
          </c:tx>
          <c:spPr>
            <a:ln w="28575" cap="rnd">
              <a:solidFill>
                <a:srgbClr val="0070C0"/>
              </a:solidFill>
              <a:round/>
            </a:ln>
            <a:effectLst/>
          </c:spPr>
          <c:marker>
            <c:symbol val="none"/>
          </c:marker>
          <c:dLbls>
            <c:dLbl>
              <c:idx val="0"/>
              <c:layout>
                <c:manualLayout>
                  <c:x val="-3.4141345168999658E-2"/>
                  <c:y val="4.5584045584045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A257-457B-9326-6CF9D3A19CAF}"/>
                </c:ext>
              </c:extLst>
            </c:dLbl>
            <c:dLbl>
              <c:idx val="1"/>
              <c:layout>
                <c:manualLayout>
                  <c:x val="-4.32457038807329E-2"/>
                  <c:y val="3.7986704653371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257-457B-9326-6CF9D3A19CAF}"/>
                </c:ext>
              </c:extLst>
            </c:dLbl>
            <c:dLbl>
              <c:idx val="2"/>
              <c:layout>
                <c:manualLayout>
                  <c:x val="-3.6417434846932967E-2"/>
                  <c:y val="3.7986704653371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A257-457B-9326-6CF9D3A19CAF}"/>
                </c:ext>
              </c:extLst>
            </c:dLbl>
            <c:dLbl>
              <c:idx val="3"/>
              <c:layout>
                <c:manualLayout>
                  <c:x val="-4.5521793558666208E-2"/>
                  <c:y val="4.1785375118708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A257-457B-9326-6CF9D3A19CAF}"/>
                </c:ext>
              </c:extLst>
            </c:dLbl>
            <c:dLbl>
              <c:idx val="4"/>
              <c:layout>
                <c:manualLayout>
                  <c:x val="-4.32457038807329E-2"/>
                  <c:y val="3.0389363722697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A257-457B-9326-6CF9D3A19CAF}"/>
                </c:ext>
              </c:extLst>
            </c:dLbl>
            <c:dLbl>
              <c:idx val="5"/>
              <c:layout>
                <c:manualLayout>
                  <c:x val="-2.9589165813133037E-2"/>
                  <c:y val="3.0389363722697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257-457B-9326-6CF9D3A19CAF}"/>
                </c:ext>
              </c:extLst>
            </c:dLbl>
            <c:dLbl>
              <c:idx val="6"/>
              <c:layout>
                <c:manualLayout>
                  <c:x val="-3.641743484693305E-2"/>
                  <c:y val="3.4188034188034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257-457B-9326-6CF9D3A19CAF}"/>
                </c:ext>
              </c:extLst>
            </c:dLbl>
            <c:dLbl>
              <c:idx val="7"/>
              <c:layout>
                <c:manualLayout>
                  <c:x val="-3.8693524524866199E-2"/>
                  <c:y val="3.7986704653371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257-457B-9326-6CF9D3A19CAF}"/>
                </c:ext>
              </c:extLst>
            </c:dLbl>
            <c:dLbl>
              <c:idx val="8"/>
              <c:layout>
                <c:manualLayout>
                  <c:x val="-4.0969614202799591E-2"/>
                  <c:y val="4.1785375118708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257-457B-9326-6CF9D3A19CAF}"/>
                </c:ext>
              </c:extLst>
            </c:dLbl>
            <c:dLbl>
              <c:idx val="9"/>
              <c:layout>
                <c:manualLayout>
                  <c:x val="-3.6417434846932967E-2"/>
                  <c:y val="5.6980056980056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257-457B-9326-6CF9D3A19CA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'γράφημα 5'!$B$11:$K$11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'γράφημα 5'!$B$14:$K$14</c:f>
              <c:numCache>
                <c:formatCode>#,##0.##########</c:formatCode>
                <c:ptCount val="10"/>
                <c:pt idx="0">
                  <c:v>12.7</c:v>
                </c:pt>
                <c:pt idx="1">
                  <c:v>10.7</c:v>
                </c:pt>
                <c:pt idx="2">
                  <c:v>10.5</c:v>
                </c:pt>
                <c:pt idx="3">
                  <c:v>10.7</c:v>
                </c:pt>
                <c:pt idx="4" formatCode="#,##0.0">
                  <c:v>10</c:v>
                </c:pt>
                <c:pt idx="5">
                  <c:v>9.4</c:v>
                </c:pt>
                <c:pt idx="6" formatCode="#,##0.0">
                  <c:v>11</c:v>
                </c:pt>
                <c:pt idx="7">
                  <c:v>11.4</c:v>
                </c:pt>
                <c:pt idx="8">
                  <c:v>13.8</c:v>
                </c:pt>
                <c:pt idx="9">
                  <c:v>15.1</c:v>
                </c:pt>
              </c:numCache>
            </c:numRef>
          </c:val>
          <c:smooth val="0"/>
          <c:extLst>
            <c:ext xmlns:c16="http://schemas.microsoft.com/office/drawing/2014/chart" uri="{C3380CC4-5D6E-409C-BE32-E72D297353CC}">
              <c16:uniqueId val="{00000002-A257-457B-9326-6CF9D3A19CAF}"/>
            </c:ext>
          </c:extLst>
        </c:ser>
        <c:ser>
          <c:idx val="3"/>
          <c:order val="3"/>
          <c:tx>
            <c:strRef>
              <c:f>'γράφημα 5'!$A$15</c:f>
              <c:strCache>
                <c:ptCount val="1"/>
                <c:pt idx="0">
                  <c:v>Χωρίς αναπηρία 16έως 64 ετών</c:v>
                </c:pt>
              </c:strCache>
            </c:strRef>
          </c:tx>
          <c:spPr>
            <a:ln w="28575" cap="rnd">
              <a:solidFill>
                <a:srgbClr val="00B0F0"/>
              </a:solidFill>
              <a:round/>
            </a:ln>
            <a:effectLst/>
          </c:spPr>
          <c:marker>
            <c:symbol val="none"/>
          </c:marker>
          <c:dLbls>
            <c:dLbl>
              <c:idx val="0"/>
              <c:layout>
                <c:manualLayout>
                  <c:x val="-3.641743484693296E-2"/>
                  <c:y val="-5.3181386514719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257-457B-9326-6CF9D3A19CAF}"/>
                </c:ext>
              </c:extLst>
            </c:dLbl>
            <c:dLbl>
              <c:idx val="1"/>
              <c:layout>
                <c:manualLayout>
                  <c:x val="-4.5521793558666229E-2"/>
                  <c:y val="-4.5584045584045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257-457B-9326-6CF9D3A19CAF}"/>
                </c:ext>
              </c:extLst>
            </c:dLbl>
            <c:dLbl>
              <c:idx val="2"/>
              <c:layout>
                <c:manualLayout>
                  <c:x val="-4.32457038807329E-2"/>
                  <c:y val="3.0389363722697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257-457B-9326-6CF9D3A19CAF}"/>
                </c:ext>
              </c:extLst>
            </c:dLbl>
            <c:dLbl>
              <c:idx val="3"/>
              <c:layout>
                <c:manualLayout>
                  <c:x val="-4.5521793558666208E-2"/>
                  <c:y val="-3.79867046533713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257-457B-9326-6CF9D3A19CAF}"/>
                </c:ext>
              </c:extLst>
            </c:dLbl>
            <c:dLbl>
              <c:idx val="4"/>
              <c:layout>
                <c:manualLayout>
                  <c:x val="-4.0969614202799591E-2"/>
                  <c:y val="-4.1785375118708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257-457B-9326-6CF9D3A19CAF}"/>
                </c:ext>
              </c:extLst>
            </c:dLbl>
            <c:dLbl>
              <c:idx val="5"/>
              <c:layout>
                <c:manualLayout>
                  <c:x val="-3.6417434846932967E-2"/>
                  <c:y val="-4.5584045584045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257-457B-9326-6CF9D3A19CAF}"/>
                </c:ext>
              </c:extLst>
            </c:dLbl>
            <c:dLbl>
              <c:idx val="6"/>
              <c:layout>
                <c:manualLayout>
                  <c:x val="-4.7797883236599607E-2"/>
                  <c:y val="-4.5584045584045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257-457B-9326-6CF9D3A19CAF}"/>
                </c:ext>
              </c:extLst>
            </c:dLbl>
            <c:dLbl>
              <c:idx val="7"/>
              <c:layout>
                <c:manualLayout>
                  <c:x val="-4.0969614202799591E-2"/>
                  <c:y val="-3.0389363722697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257-457B-9326-6CF9D3A19CAF}"/>
                </c:ext>
              </c:extLst>
            </c:dLbl>
            <c:dLbl>
              <c:idx val="8"/>
              <c:layout>
                <c:manualLayout>
                  <c:x val="-4.32457038807329E-2"/>
                  <c:y val="2.6590693257359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257-457B-9326-6CF9D3A19CAF}"/>
                </c:ext>
              </c:extLst>
            </c:dLbl>
            <c:dLbl>
              <c:idx val="9"/>
              <c:layout>
                <c:manualLayout>
                  <c:x val="-3.6417434846932967E-2"/>
                  <c:y val="2.6590693257359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257-457B-9326-6CF9D3A19CA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'γράφημα 5'!$B$11:$K$11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'γράφημα 5'!$B$15:$K$15</c:f>
              <c:numCache>
                <c:formatCode>#,##0.##########</c:formatCode>
                <c:ptCount val="10"/>
                <c:pt idx="0">
                  <c:v>23.2</c:v>
                </c:pt>
                <c:pt idx="1">
                  <c:v>21.9</c:v>
                </c:pt>
                <c:pt idx="2">
                  <c:v>22.3</c:v>
                </c:pt>
                <c:pt idx="3">
                  <c:v>20.9</c:v>
                </c:pt>
                <c:pt idx="4">
                  <c:v>19.2</c:v>
                </c:pt>
                <c:pt idx="5">
                  <c:v>18.2</c:v>
                </c:pt>
                <c:pt idx="6">
                  <c:v>17.8</c:v>
                </c:pt>
                <c:pt idx="7">
                  <c:v>20.2</c:v>
                </c:pt>
                <c:pt idx="8">
                  <c:v>18.399999999999999</c:v>
                </c:pt>
                <c:pt idx="9">
                  <c:v>18.5</c:v>
                </c:pt>
              </c:numCache>
            </c:numRef>
          </c:val>
          <c:smooth val="0"/>
          <c:extLst>
            <c:ext xmlns:c16="http://schemas.microsoft.com/office/drawing/2014/chart" uri="{C3380CC4-5D6E-409C-BE32-E72D297353CC}">
              <c16:uniqueId val="{00000003-A257-457B-9326-6CF9D3A19CAF}"/>
            </c:ext>
          </c:extLst>
        </c:ser>
        <c:dLbls>
          <c:showLegendKey val="0"/>
          <c:showVal val="0"/>
          <c:showCatName val="0"/>
          <c:showSerName val="0"/>
          <c:showPercent val="0"/>
          <c:showBubbleSize val="0"/>
        </c:dLbls>
        <c:smooth val="0"/>
        <c:axId val="239706687"/>
        <c:axId val="239707167"/>
      </c:lineChart>
      <c:catAx>
        <c:axId val="239706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239707167"/>
        <c:crosses val="autoZero"/>
        <c:auto val="1"/>
        <c:lblAlgn val="ctr"/>
        <c:lblOffset val="100"/>
        <c:noMultiLvlLbl val="0"/>
      </c:catAx>
      <c:valAx>
        <c:axId val="239707167"/>
        <c:scaling>
          <c:orientation val="minMax"/>
        </c:scaling>
        <c:delete val="1"/>
        <c:axPos val="l"/>
        <c:majorGridlines>
          <c:spPr>
            <a:ln w="9525" cap="flat" cmpd="sng" algn="ctr">
              <a:solidFill>
                <a:schemeClr val="bg1">
                  <a:lumMod val="95000"/>
                </a:schemeClr>
              </a:solidFill>
              <a:round/>
            </a:ln>
            <a:effectLst/>
          </c:spPr>
        </c:majorGridlines>
        <c:numFmt formatCode="#,##0.##########" sourceLinked="1"/>
        <c:majorTickMark val="none"/>
        <c:minorTickMark val="none"/>
        <c:tickLblPos val="nextTo"/>
        <c:crossAx val="239706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'γράφημα 6'!$A$12</c:f>
              <c:strCache>
                <c:ptCount val="1"/>
                <c:pt idx="0">
                  <c:v>Σοβαρή αναπηρία 65 ετών και άνω</c:v>
                </c:pt>
              </c:strCache>
            </c:strRef>
          </c:tx>
          <c:spPr>
            <a:solidFill>
              <a:srgbClr val="CC3300"/>
            </a:solidFill>
            <a:ln>
              <a:noFill/>
            </a:ln>
            <a:effectLst/>
          </c:spPr>
          <c:invertIfNegative val="0"/>
          <c:dLbls>
            <c:dLbl>
              <c:idx val="4"/>
              <c:layout>
                <c:manualLayout>
                  <c:x val="0"/>
                  <c:y val="-1.2552301255230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3CA-4318-B8A0-FC3878E40CD7}"/>
                </c:ext>
              </c:extLst>
            </c:dLbl>
            <c:dLbl>
              <c:idx val="6"/>
              <c:layout>
                <c:manualLayout>
                  <c:x val="0"/>
                  <c:y val="4.18410041841004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3CA-4318-B8A0-FC3878E40CD7}"/>
                </c:ext>
              </c:extLst>
            </c:dLbl>
            <c:dLbl>
              <c:idx val="7"/>
              <c:layout>
                <c:manualLayout>
                  <c:x val="0"/>
                  <c:y val="-3.7656903765690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3CA-4318-B8A0-FC3878E40CD7}"/>
                </c:ext>
              </c:extLst>
            </c:dLbl>
            <c:dLbl>
              <c:idx val="8"/>
              <c:layout>
                <c:manualLayout>
                  <c:x val="0"/>
                  <c:y val="-2.0920502092050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3CA-4318-B8A0-FC3878E40CD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'γράφημα 6'!$B$11:$J$11</c:f>
              <c:strCache>
                <c:ptCount val="9"/>
                <c:pt idx="0">
                  <c:v>2015</c:v>
                </c:pt>
                <c:pt idx="1">
                  <c:v>2016</c:v>
                </c:pt>
                <c:pt idx="2">
                  <c:v>2017</c:v>
                </c:pt>
                <c:pt idx="3">
                  <c:v>2018</c:v>
                </c:pt>
                <c:pt idx="4">
                  <c:v>2019</c:v>
                </c:pt>
                <c:pt idx="5">
                  <c:v>2020</c:v>
                </c:pt>
                <c:pt idx="6">
                  <c:v>2021</c:v>
                </c:pt>
                <c:pt idx="7">
                  <c:v>2022</c:v>
                </c:pt>
                <c:pt idx="8">
                  <c:v>2023</c:v>
                </c:pt>
              </c:strCache>
            </c:strRef>
          </c:cat>
          <c:val>
            <c:numRef>
              <c:f>'γράφημα 6'!$B$12:$J$12</c:f>
              <c:numCache>
                <c:formatCode>#,##0.##########</c:formatCode>
                <c:ptCount val="9"/>
                <c:pt idx="0">
                  <c:v>9.4</c:v>
                </c:pt>
                <c:pt idx="1">
                  <c:v>9.4</c:v>
                </c:pt>
                <c:pt idx="2">
                  <c:v>12.6</c:v>
                </c:pt>
                <c:pt idx="3">
                  <c:v>13.8</c:v>
                </c:pt>
                <c:pt idx="4">
                  <c:v>16.5</c:v>
                </c:pt>
                <c:pt idx="5">
                  <c:v>12.7</c:v>
                </c:pt>
                <c:pt idx="6">
                  <c:v>12.3</c:v>
                </c:pt>
                <c:pt idx="7">
                  <c:v>13.8</c:v>
                </c:pt>
                <c:pt idx="8">
                  <c:v>14.9</c:v>
                </c:pt>
              </c:numCache>
            </c:numRef>
          </c:val>
          <c:extLst>
            <c:ext xmlns:c16="http://schemas.microsoft.com/office/drawing/2014/chart" uri="{C3380CC4-5D6E-409C-BE32-E72D297353CC}">
              <c16:uniqueId val="{00000000-F3CA-4318-B8A0-FC3878E40CD7}"/>
            </c:ext>
          </c:extLst>
        </c:ser>
        <c:ser>
          <c:idx val="1"/>
          <c:order val="1"/>
          <c:tx>
            <c:strRef>
              <c:f>'γράφημα 6'!$A$13</c:f>
              <c:strCache>
                <c:ptCount val="1"/>
                <c:pt idx="0">
                  <c:v>Χωρίς αναπηρία 65 ετών και άνω</c:v>
                </c:pt>
              </c:strCache>
            </c:strRef>
          </c:tx>
          <c:spPr>
            <a:solidFill>
              <a:srgbClr val="0070C0"/>
            </a:solidFill>
            <a:ln>
              <a:noFill/>
            </a:ln>
            <a:effectLst/>
          </c:spPr>
          <c:invertIfNegative val="0"/>
          <c:dLbls>
            <c:dLbl>
              <c:idx val="0"/>
              <c:layout>
                <c:manualLayout>
                  <c:x val="6.82826903379993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CA-4318-B8A0-FC3878E40CD7}"/>
                </c:ext>
              </c:extLst>
            </c:dLbl>
            <c:dLbl>
              <c:idx val="1"/>
              <c:layout>
                <c:manualLayout>
                  <c:x val="9.1043587117332417E-3"/>
                  <c:y val="4.18410041840996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CA-4318-B8A0-FC3878E40CD7}"/>
                </c:ext>
              </c:extLst>
            </c:dLbl>
            <c:dLbl>
              <c:idx val="2"/>
              <c:layout>
                <c:manualLayout>
                  <c:x val="6.8282690337999321E-3"/>
                  <c:y val="-7.67076215378610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3CA-4318-B8A0-FC3878E40CD7}"/>
                </c:ext>
              </c:extLst>
            </c:dLbl>
            <c:dLbl>
              <c:idx val="3"/>
              <c:layout>
                <c:manualLayout>
                  <c:x val="9.1043587117331584E-3"/>
                  <c:y val="-7.67076215378610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3CA-4318-B8A0-FC3878E40CD7}"/>
                </c:ext>
              </c:extLst>
            </c:dLbl>
            <c:dLbl>
              <c:idx val="4"/>
              <c:layout>
                <c:manualLayout>
                  <c:x val="6.82826903379993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3CA-4318-B8A0-FC3878E40CD7}"/>
                </c:ext>
              </c:extLst>
            </c:dLbl>
            <c:dLbl>
              <c:idx val="5"/>
              <c:layout>
                <c:manualLayout>
                  <c:x val="9.1043587117332417E-3"/>
                  <c:y val="-7.67076215378610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3CA-4318-B8A0-FC3878E40CD7}"/>
                </c:ext>
              </c:extLst>
            </c:dLbl>
            <c:dLbl>
              <c:idx val="6"/>
              <c:layout>
                <c:manualLayout>
                  <c:x val="9.10435871173324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3CA-4318-B8A0-FC3878E40CD7}"/>
                </c:ext>
              </c:extLst>
            </c:dLbl>
            <c:dLbl>
              <c:idx val="7"/>
              <c:layout>
                <c:manualLayout>
                  <c:x val="1.1380448389666552E-2"/>
                  <c:y val="8.36820083682000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3CA-4318-B8A0-FC3878E40CD7}"/>
                </c:ext>
              </c:extLst>
            </c:dLbl>
            <c:dLbl>
              <c:idx val="8"/>
              <c:layout>
                <c:manualLayout>
                  <c:x val="6.82826903379993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3CA-4318-B8A0-FC3878E40CD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6'!$B$11:$J$11</c:f>
              <c:strCache>
                <c:ptCount val="9"/>
                <c:pt idx="0">
                  <c:v>2015</c:v>
                </c:pt>
                <c:pt idx="1">
                  <c:v>2016</c:v>
                </c:pt>
                <c:pt idx="2">
                  <c:v>2017</c:v>
                </c:pt>
                <c:pt idx="3">
                  <c:v>2018</c:v>
                </c:pt>
                <c:pt idx="4">
                  <c:v>2019</c:v>
                </c:pt>
                <c:pt idx="5">
                  <c:v>2020</c:v>
                </c:pt>
                <c:pt idx="6">
                  <c:v>2021</c:v>
                </c:pt>
                <c:pt idx="7">
                  <c:v>2022</c:v>
                </c:pt>
                <c:pt idx="8">
                  <c:v>2023</c:v>
                </c:pt>
              </c:strCache>
            </c:strRef>
          </c:cat>
          <c:val>
            <c:numRef>
              <c:f>'γράφημα 6'!$B$13:$J$13</c:f>
              <c:numCache>
                <c:formatCode>#,##0.##########</c:formatCode>
                <c:ptCount val="9"/>
                <c:pt idx="0">
                  <c:v>5.5</c:v>
                </c:pt>
                <c:pt idx="1">
                  <c:v>7.5</c:v>
                </c:pt>
                <c:pt idx="2">
                  <c:v>8.3000000000000007</c:v>
                </c:pt>
                <c:pt idx="3">
                  <c:v>9.1</c:v>
                </c:pt>
                <c:pt idx="4">
                  <c:v>9.6</c:v>
                </c:pt>
                <c:pt idx="5">
                  <c:v>9.1</c:v>
                </c:pt>
                <c:pt idx="6">
                  <c:v>9.4</c:v>
                </c:pt>
                <c:pt idx="7">
                  <c:v>10.3</c:v>
                </c:pt>
                <c:pt idx="8">
                  <c:v>10</c:v>
                </c:pt>
              </c:numCache>
            </c:numRef>
          </c:val>
          <c:extLst>
            <c:ext xmlns:c16="http://schemas.microsoft.com/office/drawing/2014/chart" uri="{C3380CC4-5D6E-409C-BE32-E72D297353CC}">
              <c16:uniqueId val="{00000001-F3CA-4318-B8A0-FC3878E40CD7}"/>
            </c:ext>
          </c:extLst>
        </c:ser>
        <c:ser>
          <c:idx val="2"/>
          <c:order val="2"/>
          <c:tx>
            <c:strRef>
              <c:f>'γράφημα 6'!$A$14</c:f>
              <c:strCache>
                <c:ptCount val="1"/>
                <c:pt idx="0">
                  <c:v>Σοβαρή αναπηρία 16 έως 64 ετών</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6'!$B$11:$J$11</c:f>
              <c:strCache>
                <c:ptCount val="9"/>
                <c:pt idx="0">
                  <c:v>2015</c:v>
                </c:pt>
                <c:pt idx="1">
                  <c:v>2016</c:v>
                </c:pt>
                <c:pt idx="2">
                  <c:v>2017</c:v>
                </c:pt>
                <c:pt idx="3">
                  <c:v>2018</c:v>
                </c:pt>
                <c:pt idx="4">
                  <c:v>2019</c:v>
                </c:pt>
                <c:pt idx="5">
                  <c:v>2020</c:v>
                </c:pt>
                <c:pt idx="6">
                  <c:v>2021</c:v>
                </c:pt>
                <c:pt idx="7">
                  <c:v>2022</c:v>
                </c:pt>
                <c:pt idx="8">
                  <c:v>2023</c:v>
                </c:pt>
              </c:strCache>
            </c:strRef>
          </c:cat>
          <c:val>
            <c:numRef>
              <c:f>'γράφημα 6'!$B$14:$J$14</c:f>
              <c:numCache>
                <c:formatCode>#,##0.##########</c:formatCode>
                <c:ptCount val="9"/>
                <c:pt idx="0">
                  <c:v>33.5</c:v>
                </c:pt>
                <c:pt idx="1">
                  <c:v>33.700000000000003</c:v>
                </c:pt>
                <c:pt idx="2">
                  <c:v>32</c:v>
                </c:pt>
                <c:pt idx="3">
                  <c:v>31.9</c:v>
                </c:pt>
                <c:pt idx="4">
                  <c:v>28.1</c:v>
                </c:pt>
                <c:pt idx="5">
                  <c:v>23.8</c:v>
                </c:pt>
                <c:pt idx="6">
                  <c:v>25.3</c:v>
                </c:pt>
                <c:pt idx="7">
                  <c:v>26.3</c:v>
                </c:pt>
                <c:pt idx="8">
                  <c:v>27.8</c:v>
                </c:pt>
              </c:numCache>
            </c:numRef>
          </c:val>
          <c:extLst>
            <c:ext xmlns:c16="http://schemas.microsoft.com/office/drawing/2014/chart" uri="{C3380CC4-5D6E-409C-BE32-E72D297353CC}">
              <c16:uniqueId val="{00000002-F3CA-4318-B8A0-FC3878E40CD7}"/>
            </c:ext>
          </c:extLst>
        </c:ser>
        <c:ser>
          <c:idx val="3"/>
          <c:order val="3"/>
          <c:tx>
            <c:strRef>
              <c:f>'γράφημα 6'!$A$15</c:f>
              <c:strCache>
                <c:ptCount val="1"/>
                <c:pt idx="0">
                  <c:v>Χωρίς αναπηρία 16 έως 64 ετών</c:v>
                </c:pt>
              </c:strCache>
            </c:strRef>
          </c:tx>
          <c:spPr>
            <a:solidFill>
              <a:srgbClr val="00B0F0"/>
            </a:solidFill>
            <a:ln>
              <a:noFill/>
            </a:ln>
            <a:effectLst/>
          </c:spPr>
          <c:invertIfNegative val="0"/>
          <c:dLbls>
            <c:dLbl>
              <c:idx val="0"/>
              <c:layout>
                <c:manualLayout>
                  <c:x val="1.36565380675998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CA-4318-B8A0-FC3878E40CD7}"/>
                </c:ext>
              </c:extLst>
            </c:dLbl>
            <c:dLbl>
              <c:idx val="1"/>
              <c:layout>
                <c:manualLayout>
                  <c:x val="1.82087174234664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CA-4318-B8A0-FC3878E40CD7}"/>
                </c:ext>
              </c:extLst>
            </c:dLbl>
            <c:dLbl>
              <c:idx val="2"/>
              <c:layout>
                <c:manualLayout>
                  <c:x val="1.5932627745533133E-2"/>
                  <c:y val="-3.83538107689305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3CA-4318-B8A0-FC3878E40CD7}"/>
                </c:ext>
              </c:extLst>
            </c:dLbl>
            <c:dLbl>
              <c:idx val="3"/>
              <c:layout>
                <c:manualLayout>
                  <c:x val="1.3656538067599864E-2"/>
                  <c:y val="8.36820083682000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3CA-4318-B8A0-FC3878E40CD7}"/>
                </c:ext>
              </c:extLst>
            </c:dLbl>
            <c:dLbl>
              <c:idx val="4"/>
              <c:layout>
                <c:manualLayout>
                  <c:x val="1.3656538067599779E-2"/>
                  <c:y val="-3.83538107689305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3CA-4318-B8A0-FC3878E40CD7}"/>
                </c:ext>
              </c:extLst>
            </c:dLbl>
            <c:dLbl>
              <c:idx val="5"/>
              <c:layout>
                <c:manualLayout>
                  <c:x val="1.59326277455331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3CA-4318-B8A0-FC3878E40CD7}"/>
                </c:ext>
              </c:extLst>
            </c:dLbl>
            <c:dLbl>
              <c:idx val="6"/>
              <c:layout>
                <c:manualLayout>
                  <c:x val="1.3656538067599779E-2"/>
                  <c:y val="4.18410041840996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3CA-4318-B8A0-FC3878E40CD7}"/>
                </c:ext>
              </c:extLst>
            </c:dLbl>
            <c:dLbl>
              <c:idx val="7"/>
              <c:layout>
                <c:manualLayout>
                  <c:x val="1.1380448389666552E-2"/>
                  <c:y val="-7.67076215378610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3CA-4318-B8A0-FC3878E40CD7}"/>
                </c:ext>
              </c:extLst>
            </c:dLbl>
            <c:dLbl>
              <c:idx val="8"/>
              <c:layout>
                <c:manualLayout>
                  <c:x val="1.3656538067599864E-2"/>
                  <c:y val="-4.18410041841004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3CA-4318-B8A0-FC3878E40CD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6'!$B$11:$J$11</c:f>
              <c:strCache>
                <c:ptCount val="9"/>
                <c:pt idx="0">
                  <c:v>2015</c:v>
                </c:pt>
                <c:pt idx="1">
                  <c:v>2016</c:v>
                </c:pt>
                <c:pt idx="2">
                  <c:v>2017</c:v>
                </c:pt>
                <c:pt idx="3">
                  <c:v>2018</c:v>
                </c:pt>
                <c:pt idx="4">
                  <c:v>2019</c:v>
                </c:pt>
                <c:pt idx="5">
                  <c:v>2020</c:v>
                </c:pt>
                <c:pt idx="6">
                  <c:v>2021</c:v>
                </c:pt>
                <c:pt idx="7">
                  <c:v>2022</c:v>
                </c:pt>
                <c:pt idx="8">
                  <c:v>2023</c:v>
                </c:pt>
              </c:strCache>
            </c:strRef>
          </c:cat>
          <c:val>
            <c:numRef>
              <c:f>'γράφημα 6'!$B$15:$J$15</c:f>
              <c:numCache>
                <c:formatCode>#,##0.##########</c:formatCode>
                <c:ptCount val="9"/>
                <c:pt idx="0">
                  <c:v>17.899999999999999</c:v>
                </c:pt>
                <c:pt idx="1">
                  <c:v>18.600000000000001</c:v>
                </c:pt>
                <c:pt idx="2">
                  <c:v>18.100000000000001</c:v>
                </c:pt>
                <c:pt idx="3">
                  <c:v>15.4</c:v>
                </c:pt>
                <c:pt idx="4">
                  <c:v>15.4</c:v>
                </c:pt>
                <c:pt idx="5">
                  <c:v>14.3</c:v>
                </c:pt>
                <c:pt idx="6">
                  <c:v>13.4</c:v>
                </c:pt>
                <c:pt idx="7">
                  <c:v>13.6</c:v>
                </c:pt>
                <c:pt idx="8">
                  <c:v>12.3</c:v>
                </c:pt>
              </c:numCache>
            </c:numRef>
          </c:val>
          <c:extLst>
            <c:ext xmlns:c16="http://schemas.microsoft.com/office/drawing/2014/chart" uri="{C3380CC4-5D6E-409C-BE32-E72D297353CC}">
              <c16:uniqueId val="{00000003-F3CA-4318-B8A0-FC3878E40CD7}"/>
            </c:ext>
          </c:extLst>
        </c:ser>
        <c:dLbls>
          <c:showLegendKey val="0"/>
          <c:showVal val="0"/>
          <c:showCatName val="0"/>
          <c:showSerName val="0"/>
          <c:showPercent val="0"/>
          <c:showBubbleSize val="0"/>
        </c:dLbls>
        <c:gapWidth val="219"/>
        <c:overlap val="-27"/>
        <c:axId val="63347615"/>
        <c:axId val="63341375"/>
      </c:barChart>
      <c:catAx>
        <c:axId val="63347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3341375"/>
        <c:crosses val="autoZero"/>
        <c:auto val="1"/>
        <c:lblAlgn val="ctr"/>
        <c:lblOffset val="100"/>
        <c:noMultiLvlLbl val="0"/>
      </c:catAx>
      <c:valAx>
        <c:axId val="63341375"/>
        <c:scaling>
          <c:orientation val="minMax"/>
          <c:max val="35"/>
        </c:scaling>
        <c:delete val="1"/>
        <c:axPos val="l"/>
        <c:majorGridlines>
          <c:spPr>
            <a:ln w="9525" cap="flat" cmpd="sng" algn="ctr">
              <a:solidFill>
                <a:schemeClr val="bg1">
                  <a:lumMod val="95000"/>
                </a:schemeClr>
              </a:solidFill>
              <a:round/>
            </a:ln>
            <a:effectLst/>
          </c:spPr>
        </c:majorGridlines>
        <c:numFmt formatCode="#,##0.##########" sourceLinked="1"/>
        <c:majorTickMark val="none"/>
        <c:minorTickMark val="none"/>
        <c:tickLblPos val="nextTo"/>
        <c:crossAx val="63347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'γράφημα 7'!$A$12</c:f>
              <c:strCache>
                <c:ptCount val="1"/>
                <c:pt idx="0">
                  <c:v>Σοβαρή αναπηρία 16 έως 64 ετών</c:v>
                </c:pt>
              </c:strCache>
            </c:strRef>
          </c:tx>
          <c:spPr>
            <a:ln w="28575" cap="rnd">
              <a:solidFill>
                <a:srgbClr val="FFC000"/>
              </a:solidFill>
              <a:round/>
            </a:ln>
            <a:effectLst/>
          </c:spPr>
          <c:marker>
            <c:symbol val="none"/>
          </c:marker>
          <c:dLbls>
            <c:dLbl>
              <c:idx val="0"/>
              <c:layout>
                <c:manualLayout>
                  <c:x val="-3.9539481335038956E-2"/>
                  <c:y val="-4.6738072054527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2B-4B29-AD18-1B1828997B6A}"/>
                </c:ext>
              </c:extLst>
            </c:dLbl>
            <c:dLbl>
              <c:idx val="1"/>
              <c:layout>
                <c:manualLayout>
                  <c:x val="-4.4191185021514132E-2"/>
                  <c:y val="3.5053554040895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2B-4B29-AD18-1B1828997B6A}"/>
                </c:ext>
              </c:extLst>
            </c:dLbl>
            <c:dLbl>
              <c:idx val="2"/>
              <c:layout>
                <c:manualLayout>
                  <c:x val="-4.4191185021514173E-2"/>
                  <c:y val="-3.8948393378773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2B-4B29-AD18-1B1828997B6A}"/>
                </c:ext>
              </c:extLst>
            </c:dLbl>
            <c:dLbl>
              <c:idx val="3"/>
              <c:layout>
                <c:manualLayout>
                  <c:x val="-4.6517036864751671E-2"/>
                  <c:y val="4.2843232716650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2B-4B29-AD18-1B1828997B6A}"/>
                </c:ext>
              </c:extLst>
            </c:dLbl>
            <c:dLbl>
              <c:idx val="4"/>
              <c:layout>
                <c:manualLayout>
                  <c:x val="-5.1168740551226888E-2"/>
                  <c:y val="3.8948393378773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2B-4B29-AD18-1B1828997B6A}"/>
                </c:ext>
              </c:extLst>
            </c:dLbl>
            <c:dLbl>
              <c:idx val="5"/>
              <c:layout>
                <c:manualLayout>
                  <c:x val="-4.1865333178276544E-2"/>
                  <c:y val="3.8948393378773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2B-4B29-AD18-1B1828997B6A}"/>
                </c:ext>
              </c:extLst>
            </c:dLbl>
            <c:dLbl>
              <c:idx val="6"/>
              <c:layout>
                <c:manualLayout>
                  <c:x val="-4.6517036864751712E-2"/>
                  <c:y val="3.5053554040895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2B-4B29-AD18-1B1828997B6A}"/>
                </c:ext>
              </c:extLst>
            </c:dLbl>
            <c:dLbl>
              <c:idx val="7"/>
              <c:layout>
                <c:manualLayout>
                  <c:x val="-4.88428887079893E-2"/>
                  <c:y val="-3.5053554040895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2B-4B29-AD18-1B1828997B6A}"/>
                </c:ext>
              </c:extLst>
            </c:dLbl>
            <c:dLbl>
              <c:idx val="8"/>
              <c:layout>
                <c:manualLayout>
                  <c:x val="-4.4191185021514132E-2"/>
                  <c:y val="-3.505355404089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2B-4B29-AD18-1B1828997B6A}"/>
                </c:ext>
              </c:extLst>
            </c:dLbl>
            <c:dLbl>
              <c:idx val="9"/>
              <c:layout>
                <c:manualLayout>
                  <c:x val="-4.4191185021514298E-2"/>
                  <c:y val="-3.8948393378773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2B-4B29-AD18-1B1828997B6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7'!$B$11:$K$11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'γράφημα 7'!$B$12:$K$12</c:f>
              <c:numCache>
                <c:formatCode>#,##0.##########</c:formatCode>
                <c:ptCount val="10"/>
                <c:pt idx="0">
                  <c:v>44.8</c:v>
                </c:pt>
                <c:pt idx="1">
                  <c:v>43.9</c:v>
                </c:pt>
                <c:pt idx="2">
                  <c:v>46.4</c:v>
                </c:pt>
                <c:pt idx="3">
                  <c:v>39.5</c:v>
                </c:pt>
                <c:pt idx="4">
                  <c:v>35.1</c:v>
                </c:pt>
                <c:pt idx="5">
                  <c:v>28.3</c:v>
                </c:pt>
                <c:pt idx="6" formatCode="#,##0.0">
                  <c:v>27</c:v>
                </c:pt>
                <c:pt idx="7">
                  <c:v>29.9</c:v>
                </c:pt>
                <c:pt idx="8">
                  <c:v>30.8</c:v>
                </c:pt>
                <c:pt idx="9">
                  <c:v>31.3</c:v>
                </c:pt>
              </c:numCache>
            </c:numRef>
          </c:val>
          <c:smooth val="0"/>
          <c:extLst>
            <c:ext xmlns:c16="http://schemas.microsoft.com/office/drawing/2014/chart" uri="{C3380CC4-5D6E-409C-BE32-E72D297353CC}">
              <c16:uniqueId val="{00000000-732B-4B29-AD18-1B1828997B6A}"/>
            </c:ext>
          </c:extLst>
        </c:ser>
        <c:ser>
          <c:idx val="1"/>
          <c:order val="1"/>
          <c:tx>
            <c:strRef>
              <c:f>'γράφημα 7'!$A$13</c:f>
              <c:strCache>
                <c:ptCount val="1"/>
                <c:pt idx="0">
                  <c:v>Χωρίς αναπηρία 16 έως 64 ετών</c:v>
                </c:pt>
              </c:strCache>
            </c:strRef>
          </c:tx>
          <c:spPr>
            <a:ln w="28575" cap="rnd">
              <a:solidFill>
                <a:srgbClr val="00B0F0"/>
              </a:solidFill>
              <a:round/>
            </a:ln>
            <a:effectLst/>
          </c:spPr>
          <c:marker>
            <c:symbol val="none"/>
          </c:marker>
          <c:dLbls>
            <c:dLbl>
              <c:idx val="0"/>
              <c:layout>
                <c:manualLayout>
                  <c:x val="-3.9539481335038956E-2"/>
                  <c:y val="-3.1158714703018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32B-4B29-AD18-1B1828997B6A}"/>
                </c:ext>
              </c:extLst>
            </c:dLbl>
            <c:dLbl>
              <c:idx val="1"/>
              <c:layout>
                <c:manualLayout>
                  <c:x val="-4.1865333178276544E-2"/>
                  <c:y val="3.5053554040895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2B-4B29-AD18-1B1828997B6A}"/>
                </c:ext>
              </c:extLst>
            </c:dLbl>
            <c:dLbl>
              <c:idx val="2"/>
              <c:layout>
                <c:manualLayout>
                  <c:x val="-4.6517036864751761E-2"/>
                  <c:y val="4.2843232716650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32B-4B29-AD18-1B1828997B6A}"/>
                </c:ext>
              </c:extLst>
            </c:dLbl>
            <c:dLbl>
              <c:idx val="3"/>
              <c:layout>
                <c:manualLayout>
                  <c:x val="-5.1168740551226888E-2"/>
                  <c:y val="4.2843232716650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32B-4B29-AD18-1B1828997B6A}"/>
                </c:ext>
              </c:extLst>
            </c:dLbl>
            <c:dLbl>
              <c:idx val="4"/>
              <c:layout>
                <c:manualLayout>
                  <c:x val="-4.88428887079893E-2"/>
                  <c:y val="5.0632911392404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32B-4B29-AD18-1B1828997B6A}"/>
                </c:ext>
              </c:extLst>
            </c:dLbl>
            <c:dLbl>
              <c:idx val="5"/>
              <c:layout>
                <c:manualLayout>
                  <c:x val="-4.6517036864751712E-2"/>
                  <c:y val="3.8948393378772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32B-4B29-AD18-1B1828997B6A}"/>
                </c:ext>
              </c:extLst>
            </c:dLbl>
            <c:dLbl>
              <c:idx val="6"/>
              <c:layout>
                <c:manualLayout>
                  <c:x val="-4.1865333178276544E-2"/>
                  <c:y val="3.8948393378773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32B-4B29-AD18-1B1828997B6A}"/>
                </c:ext>
              </c:extLst>
            </c:dLbl>
            <c:dLbl>
              <c:idx val="7"/>
              <c:layout>
                <c:manualLayout>
                  <c:x val="-4.4191185021514132E-2"/>
                  <c:y val="-4.2843232716650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32B-4B29-AD18-1B1828997B6A}"/>
                </c:ext>
              </c:extLst>
            </c:dLbl>
            <c:dLbl>
              <c:idx val="8"/>
              <c:layout>
                <c:manualLayout>
                  <c:x val="-4.1865333178276544E-2"/>
                  <c:y val="-3.8948393378773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32B-4B29-AD18-1B1828997B6A}"/>
                </c:ext>
              </c:extLst>
            </c:dLbl>
            <c:dLbl>
              <c:idx val="9"/>
              <c:layout>
                <c:manualLayout>
                  <c:x val="-4.1865333178276544E-2"/>
                  <c:y val="-4.2843232716650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32B-4B29-AD18-1B1828997B6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7'!$B$11:$K$11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'γράφημα 7'!$B$13:$K$13</c:f>
              <c:numCache>
                <c:formatCode>#,##0.##########</c:formatCode>
                <c:ptCount val="10"/>
                <c:pt idx="0">
                  <c:v>31.7</c:v>
                </c:pt>
                <c:pt idx="1">
                  <c:v>27.7</c:v>
                </c:pt>
                <c:pt idx="2">
                  <c:v>27.6</c:v>
                </c:pt>
                <c:pt idx="3">
                  <c:v>24.1</c:v>
                </c:pt>
                <c:pt idx="4">
                  <c:v>21.5</c:v>
                </c:pt>
                <c:pt idx="5">
                  <c:v>16.899999999999999</c:v>
                </c:pt>
                <c:pt idx="6">
                  <c:v>15.8</c:v>
                </c:pt>
                <c:pt idx="7">
                  <c:v>16.5</c:v>
                </c:pt>
                <c:pt idx="8">
                  <c:v>17.899999999999999</c:v>
                </c:pt>
                <c:pt idx="9">
                  <c:v>18.2</c:v>
                </c:pt>
              </c:numCache>
            </c:numRef>
          </c:val>
          <c:smooth val="0"/>
          <c:extLst>
            <c:ext xmlns:c16="http://schemas.microsoft.com/office/drawing/2014/chart" uri="{C3380CC4-5D6E-409C-BE32-E72D297353CC}">
              <c16:uniqueId val="{00000001-732B-4B29-AD18-1B1828997B6A}"/>
            </c:ext>
          </c:extLst>
        </c:ser>
        <c:dLbls>
          <c:showLegendKey val="0"/>
          <c:showVal val="0"/>
          <c:showCatName val="0"/>
          <c:showSerName val="0"/>
          <c:showPercent val="0"/>
          <c:showBubbleSize val="0"/>
        </c:dLbls>
        <c:smooth val="0"/>
        <c:axId val="152386111"/>
        <c:axId val="152386591"/>
      </c:lineChart>
      <c:catAx>
        <c:axId val="15238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52386591"/>
        <c:crosses val="autoZero"/>
        <c:auto val="1"/>
        <c:lblAlgn val="ctr"/>
        <c:lblOffset val="100"/>
        <c:noMultiLvlLbl val="0"/>
      </c:catAx>
      <c:valAx>
        <c:axId val="152386591"/>
        <c:scaling>
          <c:orientation val="minMax"/>
          <c:max val="48"/>
          <c:min val="10"/>
        </c:scaling>
        <c:delete val="1"/>
        <c:axPos val="l"/>
        <c:majorGridlines>
          <c:spPr>
            <a:ln w="9525" cap="flat" cmpd="sng" algn="ctr">
              <a:solidFill>
                <a:schemeClr val="bg1">
                  <a:lumMod val="95000"/>
                </a:schemeClr>
              </a:solidFill>
              <a:round/>
            </a:ln>
            <a:effectLst/>
          </c:spPr>
        </c:majorGridlines>
        <c:numFmt formatCode="#,##0.##########" sourceLinked="1"/>
        <c:majorTickMark val="none"/>
        <c:minorTickMark val="none"/>
        <c:tickLblPos val="nextTo"/>
        <c:crossAx val="15238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'γράφημα 8'!$A$12</c:f>
              <c:strCache>
                <c:ptCount val="1"/>
                <c:pt idx="0">
                  <c:v>Σοβαρή αναπηρία</c:v>
                </c:pt>
              </c:strCache>
            </c:strRef>
          </c:tx>
          <c:spPr>
            <a:ln w="28575" cap="rnd">
              <a:solidFill>
                <a:srgbClr val="FFC000"/>
              </a:solidFill>
              <a:round/>
            </a:ln>
            <a:effectLst/>
          </c:spPr>
          <c:marker>
            <c:symbol val="none"/>
          </c:marker>
          <c:dLbls>
            <c:dLbl>
              <c:idx val="0"/>
              <c:layout>
                <c:manualLayout>
                  <c:x val="-4.5481747456612806E-2"/>
                  <c:y val="3.8321517532094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9B-4F83-990D-5AFBCE43D408}"/>
                </c:ext>
              </c:extLst>
            </c:dLbl>
            <c:dLbl>
              <c:idx val="1"/>
              <c:layout>
                <c:manualLayout>
                  <c:x val="-4.3087971274685818E-2"/>
                  <c:y val="-4.9817972791722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9B-4F83-990D-5AFBCE43D408}"/>
                </c:ext>
              </c:extLst>
            </c:dLbl>
            <c:dLbl>
              <c:idx val="2"/>
              <c:layout>
                <c:manualLayout>
                  <c:x val="-4.5481747456612806E-2"/>
                  <c:y val="-5.3650124544931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9B-4F83-990D-5AFBCE43D408}"/>
                </c:ext>
              </c:extLst>
            </c:dLbl>
            <c:dLbl>
              <c:idx val="3"/>
              <c:layout>
                <c:manualLayout>
                  <c:x val="-5.2663076002393776E-2"/>
                  <c:y val="-4.9817972791722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9B-4F83-990D-5AFBCE43D408}"/>
                </c:ext>
              </c:extLst>
            </c:dLbl>
            <c:dLbl>
              <c:idx val="4"/>
              <c:layout>
                <c:manualLayout>
                  <c:x val="-4.7875523638539884E-2"/>
                  <c:y val="-3.8321517532094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9B-4F83-990D-5AFBCE43D408}"/>
                </c:ext>
              </c:extLst>
            </c:dLbl>
            <c:dLbl>
              <c:idx val="5"/>
              <c:layout>
                <c:manualLayout>
                  <c:x val="-4.5481747456612806E-2"/>
                  <c:y val="3.8321517532094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9B-4F83-990D-5AFBCE43D408}"/>
                </c:ext>
              </c:extLst>
            </c:dLbl>
            <c:dLbl>
              <c:idx val="6"/>
              <c:layout>
                <c:manualLayout>
                  <c:x val="-4.5481747456612896E-2"/>
                  <c:y val="-3.8321517532094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9B-4F83-990D-5AFBCE43D408}"/>
                </c:ext>
              </c:extLst>
            </c:dLbl>
            <c:dLbl>
              <c:idx val="7"/>
              <c:layout>
                <c:manualLayout>
                  <c:x val="-4.7875523638539794E-2"/>
                  <c:y val="5.3650124544931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59B-4F83-990D-5AFBCE43D408}"/>
                </c:ext>
              </c:extLst>
            </c:dLbl>
            <c:dLbl>
              <c:idx val="8"/>
              <c:layout>
                <c:manualLayout>
                  <c:x val="-5.0269299820466962E-2"/>
                  <c:y val="4.2153669285303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59B-4F83-990D-5AFBCE43D40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'γράφημα 8'!$B$11:$J$11</c:f>
              <c:strCache>
                <c:ptCount val="9"/>
                <c:pt idx="0">
                  <c:v>2015</c:v>
                </c:pt>
                <c:pt idx="1">
                  <c:v>2016</c:v>
                </c:pt>
                <c:pt idx="2">
                  <c:v>2017</c:v>
                </c:pt>
                <c:pt idx="3">
                  <c:v>2018</c:v>
                </c:pt>
                <c:pt idx="4">
                  <c:v>2019</c:v>
                </c:pt>
                <c:pt idx="5">
                  <c:v>2020</c:v>
                </c:pt>
                <c:pt idx="6">
                  <c:v>2021</c:v>
                </c:pt>
                <c:pt idx="7">
                  <c:v>2022</c:v>
                </c:pt>
                <c:pt idx="8">
                  <c:v>2023</c:v>
                </c:pt>
              </c:strCache>
            </c:strRef>
          </c:cat>
          <c:val>
            <c:numRef>
              <c:f>'γράφημα 8'!$B$12:$J$12</c:f>
              <c:numCache>
                <c:formatCode>#,##0.##########</c:formatCode>
                <c:ptCount val="9"/>
                <c:pt idx="0">
                  <c:v>24.1</c:v>
                </c:pt>
                <c:pt idx="1">
                  <c:v>29.4</c:v>
                </c:pt>
                <c:pt idx="2">
                  <c:v>30.8</c:v>
                </c:pt>
                <c:pt idx="3" formatCode="#,##0.0">
                  <c:v>32</c:v>
                </c:pt>
                <c:pt idx="4">
                  <c:v>36.200000000000003</c:v>
                </c:pt>
                <c:pt idx="5">
                  <c:v>32.299999999999997</c:v>
                </c:pt>
                <c:pt idx="6">
                  <c:v>34.200000000000003</c:v>
                </c:pt>
                <c:pt idx="7">
                  <c:v>31.7</c:v>
                </c:pt>
                <c:pt idx="8">
                  <c:v>27.1</c:v>
                </c:pt>
              </c:numCache>
            </c:numRef>
          </c:val>
          <c:smooth val="0"/>
          <c:extLst>
            <c:ext xmlns:c16="http://schemas.microsoft.com/office/drawing/2014/chart" uri="{C3380CC4-5D6E-409C-BE32-E72D297353CC}">
              <c16:uniqueId val="{00000000-559B-4F83-990D-5AFBCE43D408}"/>
            </c:ext>
          </c:extLst>
        </c:ser>
        <c:ser>
          <c:idx val="1"/>
          <c:order val="1"/>
          <c:tx>
            <c:strRef>
              <c:f>'γράφημα 8'!$A$13</c:f>
              <c:strCache>
                <c:ptCount val="1"/>
                <c:pt idx="0">
                  <c:v>Χωρίς αναπηρία</c:v>
                </c:pt>
              </c:strCache>
            </c:strRef>
          </c:tx>
          <c:spPr>
            <a:ln w="28575" cap="rnd">
              <a:solidFill>
                <a:srgbClr val="00B0F0"/>
              </a:solidFill>
              <a:round/>
            </a:ln>
            <a:effectLst/>
          </c:spPr>
          <c:marker>
            <c:symbol val="none"/>
          </c:marker>
          <c:dLbls>
            <c:dLbl>
              <c:idx val="0"/>
              <c:layout>
                <c:manualLayout>
                  <c:x val="-4.7875523638539794E-2"/>
                  <c:y val="3.832151753209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59B-4F83-990D-5AFBCE43D408}"/>
                </c:ext>
              </c:extLst>
            </c:dLbl>
            <c:dLbl>
              <c:idx val="1"/>
              <c:layout>
                <c:manualLayout>
                  <c:x val="-4.7875523638539794E-2"/>
                  <c:y val="4.2153669285303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59B-4F83-990D-5AFBCE43D408}"/>
                </c:ext>
              </c:extLst>
            </c:dLbl>
            <c:dLbl>
              <c:idx val="2"/>
              <c:layout>
                <c:manualLayout>
                  <c:x val="-5.2663076002393776E-2"/>
                  <c:y val="4.5985821038513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59B-4F83-990D-5AFBCE43D408}"/>
                </c:ext>
              </c:extLst>
            </c:dLbl>
            <c:dLbl>
              <c:idx val="3"/>
              <c:layout>
                <c:manualLayout>
                  <c:x val="-5.5056852184320763E-2"/>
                  <c:y val="4.2153669285303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59B-4F83-990D-5AFBCE43D408}"/>
                </c:ext>
              </c:extLst>
            </c:dLbl>
            <c:dLbl>
              <c:idx val="4"/>
              <c:layout>
                <c:manualLayout>
                  <c:x val="-5.0269299820466871E-2"/>
                  <c:y val="4.2153669285303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59B-4F83-990D-5AFBCE43D408}"/>
                </c:ext>
              </c:extLst>
            </c:dLbl>
            <c:dLbl>
              <c:idx val="5"/>
              <c:layout>
                <c:manualLayout>
                  <c:x val="-4.7875523638539794E-2"/>
                  <c:y val="4.2153669285303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59B-4F83-990D-5AFBCE43D408}"/>
                </c:ext>
              </c:extLst>
            </c:dLbl>
            <c:dLbl>
              <c:idx val="6"/>
              <c:layout>
                <c:manualLayout>
                  <c:x val="-4.5481747456612896E-2"/>
                  <c:y val="-3.8321517532094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59B-4F83-990D-5AFBCE43D408}"/>
                </c:ext>
              </c:extLst>
            </c:dLbl>
            <c:dLbl>
              <c:idx val="7"/>
              <c:layout>
                <c:manualLayout>
                  <c:x val="-3.5906642728905022E-2"/>
                  <c:y val="-4.2153669285303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59B-4F83-990D-5AFBCE43D408}"/>
                </c:ext>
              </c:extLst>
            </c:dLbl>
            <c:dLbl>
              <c:idx val="8"/>
              <c:layout>
                <c:manualLayout>
                  <c:x val="-3.8300418910831836E-2"/>
                  <c:y val="-4.2153669285303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59B-4F83-990D-5AFBCE43D40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'γράφημα 8'!$B$11:$J$11</c:f>
              <c:strCache>
                <c:ptCount val="9"/>
                <c:pt idx="0">
                  <c:v>2015</c:v>
                </c:pt>
                <c:pt idx="1">
                  <c:v>2016</c:v>
                </c:pt>
                <c:pt idx="2">
                  <c:v>2017</c:v>
                </c:pt>
                <c:pt idx="3">
                  <c:v>2018</c:v>
                </c:pt>
                <c:pt idx="4">
                  <c:v>2019</c:v>
                </c:pt>
                <c:pt idx="5">
                  <c:v>2020</c:v>
                </c:pt>
                <c:pt idx="6">
                  <c:v>2021</c:v>
                </c:pt>
                <c:pt idx="7">
                  <c:v>2022</c:v>
                </c:pt>
                <c:pt idx="8">
                  <c:v>2023</c:v>
                </c:pt>
              </c:strCache>
            </c:strRef>
          </c:cat>
          <c:val>
            <c:numRef>
              <c:f>'γράφημα 8'!$B$13:$J$13</c:f>
              <c:numCache>
                <c:formatCode>#,##0.##########</c:formatCode>
                <c:ptCount val="9"/>
                <c:pt idx="0">
                  <c:v>14.1</c:v>
                </c:pt>
                <c:pt idx="1">
                  <c:v>14.1</c:v>
                </c:pt>
                <c:pt idx="2">
                  <c:v>12.7</c:v>
                </c:pt>
                <c:pt idx="3">
                  <c:v>12.1</c:v>
                </c:pt>
                <c:pt idx="4">
                  <c:v>10.9</c:v>
                </c:pt>
                <c:pt idx="5">
                  <c:v>10.5</c:v>
                </c:pt>
                <c:pt idx="6" formatCode="#,##0.0">
                  <c:v>11</c:v>
                </c:pt>
                <c:pt idx="7">
                  <c:v>8.5</c:v>
                </c:pt>
                <c:pt idx="8">
                  <c:v>7.4</c:v>
                </c:pt>
              </c:numCache>
            </c:numRef>
          </c:val>
          <c:smooth val="0"/>
          <c:extLst>
            <c:ext xmlns:c16="http://schemas.microsoft.com/office/drawing/2014/chart" uri="{C3380CC4-5D6E-409C-BE32-E72D297353CC}">
              <c16:uniqueId val="{00000001-559B-4F83-990D-5AFBCE43D408}"/>
            </c:ext>
          </c:extLst>
        </c:ser>
        <c:dLbls>
          <c:showLegendKey val="0"/>
          <c:showVal val="0"/>
          <c:showCatName val="0"/>
          <c:showSerName val="0"/>
          <c:showPercent val="0"/>
          <c:showBubbleSize val="0"/>
        </c:dLbls>
        <c:smooth val="0"/>
        <c:axId val="152365951"/>
        <c:axId val="152366431"/>
      </c:lineChart>
      <c:catAx>
        <c:axId val="152365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52366431"/>
        <c:crosses val="autoZero"/>
        <c:auto val="1"/>
        <c:lblAlgn val="ctr"/>
        <c:lblOffset val="100"/>
        <c:noMultiLvlLbl val="0"/>
      </c:catAx>
      <c:valAx>
        <c:axId val="152366431"/>
        <c:scaling>
          <c:orientation val="minMax"/>
          <c:max val="38"/>
          <c:min val="5"/>
        </c:scaling>
        <c:delete val="1"/>
        <c:axPos val="l"/>
        <c:majorGridlines>
          <c:spPr>
            <a:ln w="9525" cap="flat" cmpd="sng" algn="ctr">
              <a:solidFill>
                <a:schemeClr val="bg1">
                  <a:lumMod val="95000"/>
                </a:schemeClr>
              </a:solidFill>
              <a:round/>
            </a:ln>
            <a:effectLst/>
          </c:spPr>
        </c:majorGridlines>
        <c:numFmt formatCode="#,##0.##########" sourceLinked="1"/>
        <c:majorTickMark val="none"/>
        <c:minorTickMark val="none"/>
        <c:tickLblPos val="nextTo"/>
        <c:crossAx val="152365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5461</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ΔΕΛΤΙΟ ΣΤΑΤΙΣΤΙΚΗΣ ΠΛΗΡΟΦΟΡΗΣΗΣ (2024, 3ο ΔΕΛΤΙΟ)</vt:lpstr>
    </vt:vector>
  </TitlesOfParts>
  <Manager/>
  <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ΣΤΑΤΙΣΤΙΚΗΣ ΠΛΗΡΟΦΟΡΗΣΗΣ (2024, 3ο ΔΕΛΤΙΟ)</dc:title>
  <dc:subject>ΦΤΩΧΕΙΑ ΚΑΙ ΚΟΙΝΩΝΙΚΟΣ ΑΠΟΚΛΕΙΣΜΟΣ ΣΤΑ ΑΤΟΜΑ ΜΕ ΑΝΑΠΗΡΙΑ</dc:subject>
  <dc:creator/>
  <dc:description>Επιμέλεια προσβασιμότητας εγγράφου: Αλέξανδρος Μουρούζης </dc:description>
  <cp:lastModifiedBy/>
  <cp:revision>1</cp:revision>
  <dcterms:created xsi:type="dcterms:W3CDTF">2025-01-14T06:39:00Z</dcterms:created>
  <dcterms:modified xsi:type="dcterms:W3CDTF">2025-01-22T06:29:00Z</dcterms:modified>
  <cp:contentStatus/>
</cp:coreProperties>
</file>