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7C4567F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2-20T00:00:00Z">
                    <w:dateFormat w:val="dd.MM.yyyy"/>
                    <w:lid w:val="el-GR"/>
                    <w:storeMappedDataAs w:val="dateTime"/>
                    <w:calendar w:val="gregorian"/>
                  </w:date>
                </w:sdtPr>
                <w:sdtContent>
                  <w:r w:rsidR="00EB03E9">
                    <w:t>20.02.2025</w:t>
                  </w:r>
                </w:sdtContent>
              </w:sdt>
            </w:sdtContent>
          </w:sdt>
        </w:sdtContent>
      </w:sdt>
    </w:p>
    <w:p w14:paraId="41EA2CD5" w14:textId="551C17EC"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D283D">
            <w:t>224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223B07E"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Fonts w:ascii="Arial" w:eastAsia="Aptos" w:hAnsi="Arial"/>
                <w:kern w:val="2"/>
                <w:sz w:val="24"/>
                <w:szCs w:val="24"/>
                <w:u w:val="none"/>
                <w14:ligatures w14:val="standardContextual"/>
              </w:rPr>
              <w:alias w:val="Τίτλος"/>
              <w:tag w:val="Τίτλος"/>
              <w:id w:val="-726219383"/>
              <w:lock w:val="sdtLocked"/>
              <w:placeholder>
                <w:docPart w:val="38B3AF1646ED4C66B103A3C58E5F8596"/>
              </w:placeholder>
              <w:text/>
            </w:sdtPr>
            <w:sdtContent>
              <w:r w:rsidR="00EB03E9" w:rsidRPr="00EB03E9">
                <w:rPr>
                  <w:rFonts w:ascii="Arial" w:eastAsia="Aptos" w:hAnsi="Arial"/>
                  <w:kern w:val="2"/>
                  <w:sz w:val="24"/>
                  <w:szCs w:val="24"/>
                  <w:u w:val="none"/>
                  <w14:ligatures w14:val="standardContextual"/>
                </w:rPr>
                <w:t>Ι. Βαρδακαστάνης: Η μείωση του προϋπολογισμού για τη συνοχή στην ΕΕ θα βλάψει τη ζωή των ατόμων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rPr>
          <w:rFonts w:eastAsia="Times New Roman" w:cs="Times New Roman"/>
          <w:b w:val="0"/>
          <w:color w:val="000000"/>
          <w:spacing w:val="0"/>
          <w:kern w:val="0"/>
          <w:sz w:val="22"/>
          <w:szCs w:val="22"/>
          <w:u w:val="none"/>
        </w:rPr>
      </w:sdtEndPr>
      <w:sdtContent>
        <w:sdt>
          <w:sdtPr>
            <w:rPr>
              <w:bCs/>
              <w:sz w:val="22"/>
              <w:szCs w:val="22"/>
            </w:rPr>
            <w:alias w:val="Σώμα του ΔΤ"/>
            <w:tag w:val="Σώμα του ΔΤ"/>
            <w:id w:val="-1096393226"/>
            <w:lock w:val="sdtLocked"/>
            <w:placeholder>
              <w:docPart w:val="EED56959E1BE415DBC8DB03406A627B8"/>
            </w:placeholder>
          </w:sdtPr>
          <w:sdtEndPr>
            <w:rPr>
              <w:rFonts w:eastAsia="Times New Roman" w:cs="Times New Roman"/>
              <w:b w:val="0"/>
              <w:bCs w:val="0"/>
              <w:color w:val="000000"/>
              <w:spacing w:val="0"/>
              <w:kern w:val="0"/>
              <w:u w:val="none"/>
            </w:rPr>
          </w:sdtEndPr>
          <w:sdtContent>
            <w:p w14:paraId="60432402" w14:textId="24E55C85" w:rsidR="00EB03E9" w:rsidRPr="00EB03E9" w:rsidRDefault="00EB03E9" w:rsidP="00EB03E9">
              <w:pPr>
                <w:pStyle w:val="mySubtitle"/>
                <w:rPr>
                  <w:rFonts w:eastAsia="Aptos"/>
                  <w:sz w:val="22"/>
                  <w:szCs w:val="22"/>
                </w:rPr>
              </w:pPr>
              <w:r w:rsidRPr="00EB03E9">
                <w:rPr>
                  <w:sz w:val="22"/>
                  <w:szCs w:val="22"/>
                </w:rPr>
                <w:t>Ο επόμενος</w:t>
              </w:r>
              <w:r w:rsidRPr="00EB03E9">
                <w:rPr>
                  <w:rFonts w:eastAsia="Aptos"/>
                  <w:sz w:val="22"/>
                  <w:szCs w:val="22"/>
                </w:rPr>
                <w:t xml:space="preserve"> προϋπολογισμός της ΕΕ απειλεί να εγκαταλείψει τους </w:t>
              </w:r>
              <w:r w:rsidRPr="00EB03E9">
                <w:rPr>
                  <w:sz w:val="22"/>
                  <w:szCs w:val="22"/>
                </w:rPr>
                <w:t>ευάλωτους</w:t>
              </w:r>
              <w:r w:rsidRPr="00EB03E9">
                <w:rPr>
                  <w:rFonts w:eastAsia="Aptos"/>
                  <w:sz w:val="22"/>
                  <w:szCs w:val="22"/>
                </w:rPr>
                <w:t xml:space="preserve"> </w:t>
              </w:r>
            </w:p>
            <w:p w14:paraId="1EAB9475" w14:textId="0CA3B559" w:rsidR="00EB03E9" w:rsidRPr="00EB03E9" w:rsidRDefault="00EB03E9" w:rsidP="00EB03E9">
              <w:pPr>
                <w:rPr>
                  <w:bCs/>
                  <w:i/>
                  <w:iCs/>
                </w:rPr>
              </w:pPr>
              <w:r w:rsidRPr="00EB03E9">
                <w:rPr>
                  <w:bCs/>
                  <w:i/>
                  <w:iCs/>
                </w:rPr>
                <w:t>«Τα προγράμματα που χρηματοδοτούνται από την πολιτική συνοχής συμπληρώνουν τις εθνικές δαπάνες και έχουν πράγματι βελτιώσει τη ζωή μας. Θα έπρεπε να είναι το καμάρι και η χαρά της ΕΕ και όχι να περικοπούν»</w:t>
              </w:r>
              <w:r w:rsidRPr="00EB03E9">
                <w:rPr>
                  <w:bCs/>
                  <w:i/>
                  <w:iCs/>
                </w:rPr>
                <w:t xml:space="preserve">, </w:t>
              </w:r>
              <w:r w:rsidRPr="00EB03E9">
                <w:rPr>
                  <w:bCs/>
                  <w:i/>
                  <w:iCs/>
                </w:rPr>
                <w:t>Ο Ιωάννης Βαρδακαστάνης, πρόεδρος</w:t>
              </w:r>
              <w:r w:rsidRPr="00EB03E9">
                <w:rPr>
                  <w:bCs/>
                  <w:i/>
                  <w:iCs/>
                </w:rPr>
                <w:t xml:space="preserve"> </w:t>
              </w:r>
              <w:r w:rsidRPr="00EB03E9">
                <w:rPr>
                  <w:bCs/>
                  <w:i/>
                  <w:iCs/>
                  <w:lang w:val="en-US"/>
                </w:rPr>
                <w:t>EDF</w:t>
              </w:r>
              <w:r w:rsidRPr="00EB03E9">
                <w:rPr>
                  <w:bCs/>
                  <w:i/>
                  <w:iCs/>
                </w:rPr>
                <w:t xml:space="preserve"> και ΕΣΑμεΑ.</w:t>
              </w:r>
            </w:p>
            <w:p w14:paraId="66CFA7B7" w14:textId="40B12ABE" w:rsidR="00EB03E9" w:rsidRPr="00EB03E9" w:rsidRDefault="00EB03E9" w:rsidP="00EB03E9">
              <w:pPr>
                <w:spacing w:after="160" w:line="259" w:lineRule="auto"/>
                <w:jc w:val="left"/>
                <w:rPr>
                  <w:rFonts w:eastAsia="Aptos"/>
                  <w:color w:val="auto"/>
                  <w:kern w:val="2"/>
                  <w14:ligatures w14:val="standardContextual"/>
                </w:rPr>
              </w:pPr>
              <w:r w:rsidRPr="00EB03E9">
                <w:rPr>
                  <w:rFonts w:eastAsia="Aptos"/>
                  <w:color w:val="auto"/>
                  <w:kern w:val="2"/>
                  <w14:ligatures w14:val="standardContextual"/>
                </w:rPr>
                <w:t xml:space="preserve">Το </w:t>
              </w:r>
              <w:r w:rsidRPr="00EB03E9">
                <w:rPr>
                  <w:rFonts w:eastAsia="Aptos"/>
                  <w:color w:val="auto"/>
                  <w:kern w:val="2"/>
                  <w:lang w:val="en-US"/>
                  <w14:ligatures w14:val="standardContextual"/>
                </w:rPr>
                <w:t>European</w:t>
              </w:r>
              <w:r w:rsidRPr="00EB03E9">
                <w:rPr>
                  <w:rFonts w:eastAsia="Aptos"/>
                  <w:color w:val="auto"/>
                  <w:kern w:val="2"/>
                  <w14:ligatures w14:val="standardContextual"/>
                </w:rPr>
                <w:t xml:space="preserve"> </w:t>
              </w:r>
              <w:r w:rsidRPr="00EB03E9">
                <w:rPr>
                  <w:rFonts w:eastAsia="Aptos"/>
                  <w:color w:val="auto"/>
                  <w:kern w:val="2"/>
                  <w:lang w:val="en-US"/>
                  <w14:ligatures w14:val="standardContextual"/>
                </w:rPr>
                <w:t>Disability</w:t>
              </w:r>
              <w:r w:rsidRPr="00EB03E9">
                <w:rPr>
                  <w:rFonts w:eastAsia="Aptos"/>
                  <w:color w:val="auto"/>
                  <w:kern w:val="2"/>
                  <w14:ligatures w14:val="standardContextual"/>
                </w:rPr>
                <w:t xml:space="preserve"> </w:t>
              </w:r>
              <w:r w:rsidRPr="00EB03E9">
                <w:rPr>
                  <w:rFonts w:eastAsia="Aptos"/>
                  <w:color w:val="auto"/>
                  <w:kern w:val="2"/>
                  <w:lang w:val="en-US"/>
                  <w14:ligatures w14:val="standardContextual"/>
                </w:rPr>
                <w:t>Forum</w:t>
              </w:r>
              <w:r w:rsidRPr="00EB03E9">
                <w:rPr>
                  <w:rFonts w:eastAsia="Aptos"/>
                  <w:color w:val="auto"/>
                  <w:kern w:val="2"/>
                  <w14:ligatures w14:val="standardContextual"/>
                </w:rPr>
                <w:t xml:space="preserve"> (</w:t>
              </w:r>
              <w:r w:rsidRPr="00EB03E9">
                <w:rPr>
                  <w:rFonts w:eastAsia="Aptos"/>
                  <w:color w:val="auto"/>
                  <w:kern w:val="2"/>
                  <w:lang w:val="en-US"/>
                  <w14:ligatures w14:val="standardContextual"/>
                </w:rPr>
                <w:t>EDF</w:t>
              </w:r>
              <w:r w:rsidRPr="00EB03E9">
                <w:rPr>
                  <w:rFonts w:eastAsia="Aptos"/>
                  <w:color w:val="auto"/>
                  <w:kern w:val="2"/>
                  <w14:ligatures w14:val="standardContextual"/>
                </w:rPr>
                <w:t xml:space="preserve">) προειδοποιεί ότι οι συζητήσεις για τη μείωση των κονδυλίων για τα μελλοντικά προγράμματα συνοχής πρέπει να σταματήσουν, καθώς θέτουν σε κίνδυνο η ζωή των ατόμων με αναπηρία, όπως φαίνεται μετά τη δημοσίευση της </w:t>
              </w:r>
              <w:hyperlink r:id="rId10" w:history="1">
                <w:r w:rsidRPr="00EB03E9">
                  <w:rPr>
                    <w:rStyle w:val="-"/>
                    <w:rFonts w:eastAsia="Aptos"/>
                    <w:kern w:val="2"/>
                    <w14:ligatures w14:val="standardContextual"/>
                  </w:rPr>
                  <w:t>ανακοίνωσης της Ευρωπαϊκής Επιτροπής σχετικά με το μέλλον του πολυετούς δημοσιονομικού πλαισίου</w:t>
                </w:r>
              </w:hyperlink>
              <w:r w:rsidRPr="00EB03E9">
                <w:rPr>
                  <w:rFonts w:eastAsia="Aptos"/>
                  <w:color w:val="auto"/>
                  <w:kern w:val="2"/>
                  <w14:ligatures w14:val="standardContextual"/>
                </w:rPr>
                <w:t xml:space="preserve"> στις 12 Φεβρουαρίου.</w:t>
              </w:r>
            </w:p>
            <w:p w14:paraId="4761F896" w14:textId="77777777" w:rsidR="00EB03E9" w:rsidRPr="00EB03E9" w:rsidRDefault="00EB03E9" w:rsidP="00EB03E9">
              <w:pPr>
                <w:spacing w:after="160" w:line="259" w:lineRule="auto"/>
                <w:jc w:val="left"/>
                <w:rPr>
                  <w:rFonts w:eastAsia="Aptos"/>
                  <w:color w:val="auto"/>
                  <w:kern w:val="2"/>
                  <w14:ligatures w14:val="standardContextual"/>
                </w:rPr>
              </w:pPr>
              <w:r w:rsidRPr="00EB03E9">
                <w:rPr>
                  <w:rFonts w:eastAsia="Aptos"/>
                  <w:color w:val="auto"/>
                  <w:kern w:val="2"/>
                  <w14:ligatures w14:val="standardContextual"/>
                </w:rPr>
                <w:t>Η αυξανόμενη εστίαση στην ανταγωνιστικότητα είναι πολύ πιθανό να οδηγήσει σε μείωση της χρηματοδότησης της συνοχής θέτοντας σε κίνδυνο τα προγράμματα που συχνά υποκαθιστούν την έλλειψη δαπανών των εθνικών κυβερνήσεων για την κοινωνική ένταξη. Ορισμένα προγράμματα, για παράδειγμα, βοηθούν τα άτομα με αναπηρία της Λετονίας να ζουν στην κοινότητα. Βοηθούν τους Δανούς νέους με αυτισμό, ΔΕΠΥ, άγχος ή κατάθλιψη στην εξεύρεση εκπαίδευσης και εργασίας. Παρέχουν στέγαση σε Γερμανούς πολίτες που βιώνουν την έλλειψη στέγης. Με τη μείωση του προϋπολογισμού για τη συνοχή, τα κράτη θα έχουν δύο επιλογές: είτε να ξοδέψουν δικά τους χρήματα για να καλύψουν αυτά τα προγράμματα είτε να παραμελήσουν τη ζωή των πολιτών τους.</w:t>
              </w:r>
            </w:p>
            <w:p w14:paraId="148A7BEB" w14:textId="02F5F140" w:rsidR="00EB03E9" w:rsidRPr="00EB03E9" w:rsidRDefault="00EB03E9" w:rsidP="00EB03E9">
              <w:pPr>
                <w:spacing w:after="160" w:line="259" w:lineRule="auto"/>
                <w:jc w:val="left"/>
                <w:rPr>
                  <w:rFonts w:eastAsia="Aptos"/>
                  <w:color w:val="auto"/>
                  <w:kern w:val="2"/>
                  <w14:ligatures w14:val="standardContextual"/>
                </w:rPr>
              </w:pPr>
              <w:r w:rsidRPr="00EB03E9">
                <w:rPr>
                  <w:rFonts w:eastAsia="Aptos"/>
                  <w:color w:val="auto"/>
                  <w:kern w:val="2"/>
                  <w14:ligatures w14:val="standardContextual"/>
                </w:rPr>
                <w:t xml:space="preserve">Το </w:t>
              </w:r>
              <w:r w:rsidRPr="00EB03E9">
                <w:rPr>
                  <w:rFonts w:eastAsia="Aptos"/>
                  <w:color w:val="auto"/>
                  <w:kern w:val="2"/>
                  <w:lang w:val="en-US"/>
                  <w14:ligatures w14:val="standardContextual"/>
                </w:rPr>
                <w:t>EDF</w:t>
              </w:r>
              <w:r w:rsidRPr="00EB03E9">
                <w:rPr>
                  <w:rFonts w:eastAsia="Aptos"/>
                  <w:color w:val="auto"/>
                  <w:kern w:val="2"/>
                  <w14:ligatures w14:val="standardContextual"/>
                </w:rPr>
                <w:t xml:space="preserve"> καλεί τα θεσμικά όργανα της ΕΕ - και ιδίως τις εθνικές κυβερνήσεις - να προστατεύσουν το κονδύλι που θα χορηγηθεί στο τμήμα «</w:t>
              </w:r>
              <w:hyperlink r:id="rId11" w:history="1">
                <w:r w:rsidRPr="00EB03E9">
                  <w:rPr>
                    <w:rStyle w:val="-"/>
                    <w:rFonts w:eastAsia="Aptos"/>
                    <w:kern w:val="2"/>
                    <w14:ligatures w14:val="standardContextual"/>
                  </w:rPr>
                  <w:t>Συνοχή, ανθεκτικότητα και αξίες</w:t>
                </w:r>
              </w:hyperlink>
              <w:r w:rsidRPr="00EB03E9">
                <w:rPr>
                  <w:rFonts w:eastAsia="Aptos"/>
                  <w:color w:val="auto"/>
                  <w:kern w:val="2"/>
                  <w14:ligatures w14:val="standardContextual"/>
                </w:rPr>
                <w:t xml:space="preserve">» του επόμενου πολυετούς δημοσιονομικού πλαισίου. Καλεί επίσης τις κυβερνήσεις να αυξήσουν τη στήριξη προς την κοινωνία των πολιτών, οι οποίες είναι απαραίτητες για να διασφαλίσουν ότι τα προγράμματα αυτά υποστηρίζουν τους ανθρώπους στους οποίους απευθύνονται, διασφαλίζοντας ότι οι τομείς </w:t>
              </w:r>
              <w:hyperlink r:id="rId12" w:history="1">
                <w:r w:rsidRPr="00EB03E9">
                  <w:rPr>
                    <w:rStyle w:val="-"/>
                    <w:rFonts w:eastAsia="Aptos"/>
                    <w:kern w:val="2"/>
                    <w14:ligatures w14:val="standardContextual"/>
                  </w:rPr>
                  <w:t>Πολίτες, Ισότητα, Δικαιώματα και Αξίες</w:t>
                </w:r>
              </w:hyperlink>
              <w:r w:rsidRPr="00EB03E9">
                <w:rPr>
                  <w:rFonts w:eastAsia="Aptos"/>
                  <w:color w:val="auto"/>
                  <w:kern w:val="2"/>
                  <w14:ligatures w14:val="standardContextual"/>
                </w:rPr>
                <w:t xml:space="preserve"> θα διαθέτουν επαρκείς πόρους μετά το 2027.</w:t>
              </w:r>
            </w:p>
            <w:p w14:paraId="1FC0AFA7" w14:textId="77777777" w:rsidR="00EB03E9" w:rsidRPr="00EB03E9" w:rsidRDefault="00EB03E9" w:rsidP="00EB03E9">
              <w:pPr>
                <w:spacing w:after="160" w:line="259" w:lineRule="auto"/>
                <w:jc w:val="left"/>
                <w:rPr>
                  <w:rFonts w:eastAsia="Aptos"/>
                  <w:color w:val="auto"/>
                  <w:kern w:val="2"/>
                  <w14:ligatures w14:val="standardContextual"/>
                </w:rPr>
              </w:pPr>
              <w:r w:rsidRPr="00EB03E9">
                <w:rPr>
                  <w:rFonts w:eastAsia="Aptos"/>
                  <w:color w:val="auto"/>
                  <w:kern w:val="2"/>
                  <w:lang w:val="en-US"/>
                  <w14:ligatures w14:val="standardContextual"/>
                </w:rPr>
                <w:t>H</w:t>
              </w:r>
              <w:r w:rsidRPr="00EB03E9">
                <w:rPr>
                  <w:rFonts w:eastAsia="Aptos"/>
                  <w:color w:val="auto"/>
                  <w:kern w:val="2"/>
                  <w14:ligatures w14:val="standardContextual"/>
                </w:rPr>
                <w:t xml:space="preserve"> ΕΕ και τα κράτη μέλη πρέπει:</w:t>
              </w:r>
            </w:p>
            <w:p w14:paraId="3E1F65DF" w14:textId="77777777" w:rsidR="00EB03E9" w:rsidRPr="00EB03E9" w:rsidRDefault="00EB03E9" w:rsidP="00EB03E9">
              <w:pPr>
                <w:spacing w:after="160" w:line="259" w:lineRule="auto"/>
                <w:jc w:val="left"/>
                <w:rPr>
                  <w:rFonts w:eastAsia="Aptos"/>
                  <w:color w:val="auto"/>
                  <w:kern w:val="2"/>
                  <w14:ligatures w14:val="standardContextual"/>
                </w:rPr>
              </w:pPr>
              <w:r w:rsidRPr="00EB03E9">
                <w:rPr>
                  <w:rFonts w:eastAsia="Aptos"/>
                  <w:color w:val="auto"/>
                  <w:kern w:val="2"/>
                  <w14:ligatures w14:val="standardContextual"/>
                </w:rPr>
                <w:t>- Να προστατεύσουν τον προϋπολογισμό που κατευθύνεται προς τη χρηματοδότηση της Συνοχής, της Ανθεκτικότητας και των Αξιών</w:t>
              </w:r>
            </w:p>
            <w:p w14:paraId="5593EB6F" w14:textId="77777777" w:rsidR="00EB03E9" w:rsidRPr="00EB03E9" w:rsidRDefault="00EB03E9" w:rsidP="00EB03E9">
              <w:pPr>
                <w:spacing w:after="160" w:line="259" w:lineRule="auto"/>
                <w:jc w:val="left"/>
                <w:rPr>
                  <w:rFonts w:eastAsia="Aptos"/>
                  <w:color w:val="auto"/>
                  <w:kern w:val="2"/>
                  <w14:ligatures w14:val="standardContextual"/>
                </w:rPr>
              </w:pPr>
              <w:r w:rsidRPr="00EB03E9">
                <w:rPr>
                  <w:rFonts w:eastAsia="Aptos"/>
                  <w:color w:val="auto"/>
                  <w:kern w:val="2"/>
                  <w14:ligatures w14:val="standardContextual"/>
                </w:rPr>
                <w:t>- Να διασφαλίσουν τη συνεχή στήριξη της κοινωνίας των πολιτών που εργάζεται για την ισότητα και τα ανθρώπινα δικαιώματα στο πλαίσιο του προγράμματος Πολίτες, Ισότητα, Δικαιώματα και Αξίες</w:t>
              </w:r>
            </w:p>
            <w:p w14:paraId="26BBEFD8" w14:textId="77777777" w:rsidR="00EB03E9" w:rsidRPr="00EB03E9" w:rsidRDefault="00EB03E9" w:rsidP="00EB03E9">
              <w:pPr>
                <w:spacing w:after="160" w:line="259" w:lineRule="auto"/>
                <w:jc w:val="left"/>
                <w:rPr>
                  <w:rFonts w:eastAsia="Aptos"/>
                  <w:color w:val="auto"/>
                  <w:kern w:val="2"/>
                  <w14:ligatures w14:val="standardContextual"/>
                </w:rPr>
              </w:pPr>
              <w:r w:rsidRPr="00EB03E9">
                <w:rPr>
                  <w:rFonts w:eastAsia="Aptos"/>
                  <w:color w:val="auto"/>
                  <w:kern w:val="2"/>
                  <w14:ligatures w14:val="standardContextual"/>
                </w:rPr>
                <w:t>- Να θέσουν πιο στοχευμένες πρωτοβουλίες ώστε να υπάρξει αντίκτυπος σε τομείς όπου η πρόοδος είναι περιορισμένη</w:t>
              </w:r>
            </w:p>
            <w:p w14:paraId="04F5CB63" w14:textId="77777777" w:rsidR="00EB03E9" w:rsidRPr="00EB03E9" w:rsidRDefault="00EB03E9" w:rsidP="00EB03E9">
              <w:pPr>
                <w:spacing w:after="160" w:line="259" w:lineRule="auto"/>
                <w:jc w:val="left"/>
                <w:rPr>
                  <w:b/>
                  <w:color w:val="C00000"/>
                  <w:kern w:val="2"/>
                  <w14:ligatures w14:val="standardContextual"/>
                </w:rPr>
              </w:pPr>
              <w:r w:rsidRPr="00EB03E9">
                <w:rPr>
                  <w:b/>
                  <w:color w:val="C00000"/>
                  <w:kern w:val="2"/>
                  <w14:ligatures w14:val="standardContextual"/>
                </w:rPr>
                <w:t>Επιπλέον πληροφορίες</w:t>
              </w:r>
            </w:p>
            <w:p w14:paraId="648853D4" w14:textId="77777777" w:rsidR="00EB03E9" w:rsidRPr="00EB03E9" w:rsidRDefault="00EB03E9" w:rsidP="00EB03E9">
              <w:pPr>
                <w:numPr>
                  <w:ilvl w:val="0"/>
                  <w:numId w:val="38"/>
                </w:numPr>
                <w:spacing w:after="160" w:line="278" w:lineRule="auto"/>
                <w:contextualSpacing/>
                <w:jc w:val="left"/>
                <w:rPr>
                  <w:rFonts w:eastAsia="Aptos"/>
                  <w:color w:val="auto"/>
                  <w:kern w:val="2"/>
                  <w:lang w:val="en-GB"/>
                  <w14:ligatures w14:val="standardContextual"/>
                </w:rPr>
              </w:pPr>
              <w:r w:rsidRPr="00EB03E9">
                <w:rPr>
                  <w:rFonts w:eastAsia="Aptos"/>
                  <w:color w:val="auto"/>
                  <w:kern w:val="2"/>
                  <w14:ligatures w14:val="standardContextual"/>
                </w:rPr>
                <w:t>Δήλωση</w:t>
              </w:r>
              <w:r w:rsidRPr="00EB03E9">
                <w:rPr>
                  <w:rFonts w:eastAsia="Aptos"/>
                  <w:color w:val="auto"/>
                  <w:kern w:val="2"/>
                  <w:lang w:val="en-US"/>
                  <w14:ligatures w14:val="standardContextual"/>
                </w:rPr>
                <w:t xml:space="preserve"> EDF</w:t>
              </w:r>
              <w:r w:rsidRPr="00EB03E9">
                <w:rPr>
                  <w:rFonts w:eastAsia="Aptos"/>
                  <w:color w:val="auto"/>
                  <w:kern w:val="2"/>
                  <w:lang w:val="en-GB"/>
                  <w14:ligatures w14:val="standardContextual"/>
                </w:rPr>
                <w:t xml:space="preserve"> “</w:t>
              </w:r>
              <w:hyperlink r:id="rId13" w:history="1">
                <w:r w:rsidRPr="00EB03E9">
                  <w:rPr>
                    <w:rFonts w:eastAsia="Aptos"/>
                    <w:color w:val="467886"/>
                    <w:kern w:val="2"/>
                    <w:u w:val="single"/>
                    <w:lang w:val="en-GB"/>
                    <w14:ligatures w14:val="standardContextual"/>
                  </w:rPr>
                  <w:t>The next EU budget must keep supporting marginalised groups</w:t>
                </w:r>
              </w:hyperlink>
              <w:r w:rsidRPr="00EB03E9">
                <w:rPr>
                  <w:rFonts w:eastAsia="Aptos"/>
                  <w:color w:val="auto"/>
                  <w:kern w:val="2"/>
                  <w:lang w:val="en-GB"/>
                  <w14:ligatures w14:val="standardContextual"/>
                </w:rPr>
                <w:t>”</w:t>
              </w:r>
            </w:p>
            <w:p w14:paraId="2E419338" w14:textId="4B2842EB" w:rsidR="00897235" w:rsidRPr="00421328" w:rsidRDefault="00EB03E9" w:rsidP="00642EFF">
              <w:pPr>
                <w:numPr>
                  <w:ilvl w:val="0"/>
                  <w:numId w:val="38"/>
                </w:numPr>
                <w:spacing w:after="160" w:line="278" w:lineRule="auto"/>
                <w:contextualSpacing/>
                <w:jc w:val="left"/>
              </w:pPr>
              <w:r w:rsidRPr="00EB03E9">
                <w:rPr>
                  <w:rFonts w:eastAsia="Aptos"/>
                  <w:color w:val="auto"/>
                  <w:kern w:val="2"/>
                  <w:lang w:val="en-GB"/>
                  <w14:ligatures w14:val="standardContextual"/>
                </w:rPr>
                <w:lastRenderedPageBreak/>
                <w:t>Campaign “</w:t>
              </w:r>
              <w:hyperlink r:id="rId14" w:history="1">
                <w:r w:rsidRPr="00EB03E9">
                  <w:rPr>
                    <w:rFonts w:eastAsia="Aptos"/>
                    <w:color w:val="467886"/>
                    <w:kern w:val="2"/>
                    <w:u w:val="single"/>
                    <w:lang w:val="en-GB"/>
                    <w14:ligatures w14:val="standardContextual"/>
                  </w:rPr>
                  <w:t>Ensuring the next EU Budget supports disability rights</w:t>
                </w:r>
              </w:hyperlink>
              <w:r w:rsidRPr="00EB03E9">
                <w:rPr>
                  <w:rFonts w:eastAsia="Aptos"/>
                  <w:color w:val="auto"/>
                  <w:kern w:val="2"/>
                  <w:lang w:val="en-GB"/>
                  <w14:ligatures w14:val="standardContextual"/>
                </w:rP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7ADFF" w14:textId="77777777" w:rsidR="002033E5" w:rsidRDefault="002033E5" w:rsidP="00A5663B">
      <w:pPr>
        <w:spacing w:after="0" w:line="240" w:lineRule="auto"/>
      </w:pPr>
      <w:r>
        <w:separator/>
      </w:r>
    </w:p>
    <w:p w14:paraId="5C9B03C6" w14:textId="77777777" w:rsidR="002033E5" w:rsidRDefault="002033E5"/>
  </w:endnote>
  <w:endnote w:type="continuationSeparator" w:id="0">
    <w:p w14:paraId="306BDF07" w14:textId="77777777" w:rsidR="002033E5" w:rsidRDefault="002033E5" w:rsidP="00A5663B">
      <w:pPr>
        <w:spacing w:after="0" w:line="240" w:lineRule="auto"/>
      </w:pPr>
      <w:r>
        <w:continuationSeparator/>
      </w:r>
    </w:p>
    <w:p w14:paraId="3557E5F0" w14:textId="77777777" w:rsidR="002033E5" w:rsidRDefault="00203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7EE17" w14:textId="77777777" w:rsidR="002033E5" w:rsidRDefault="002033E5" w:rsidP="00A5663B">
      <w:pPr>
        <w:spacing w:after="0" w:line="240" w:lineRule="auto"/>
      </w:pPr>
      <w:bookmarkStart w:id="0" w:name="_Hlk484772647"/>
      <w:bookmarkEnd w:id="0"/>
      <w:r>
        <w:separator/>
      </w:r>
    </w:p>
    <w:p w14:paraId="7685B6A7" w14:textId="77777777" w:rsidR="002033E5" w:rsidRDefault="002033E5"/>
  </w:footnote>
  <w:footnote w:type="continuationSeparator" w:id="0">
    <w:p w14:paraId="2C2B3CF9" w14:textId="77777777" w:rsidR="002033E5" w:rsidRDefault="002033E5" w:rsidP="00A5663B">
      <w:pPr>
        <w:spacing w:after="0" w:line="240" w:lineRule="auto"/>
      </w:pPr>
      <w:r>
        <w:continuationSeparator/>
      </w:r>
    </w:p>
    <w:p w14:paraId="11CED75B" w14:textId="77777777" w:rsidR="002033E5" w:rsidRDefault="002033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C858E5"/>
    <w:multiLevelType w:val="hybridMultilevel"/>
    <w:tmpl w:val="2D6CEF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9"/>
  </w:num>
  <w:num w:numId="2" w16cid:durableId="151409919">
    <w:abstractNumId w:val="29"/>
  </w:num>
  <w:num w:numId="3" w16cid:durableId="1900553032">
    <w:abstractNumId w:val="29"/>
  </w:num>
  <w:num w:numId="4" w16cid:durableId="1682196985">
    <w:abstractNumId w:val="29"/>
  </w:num>
  <w:num w:numId="5" w16cid:durableId="767387937">
    <w:abstractNumId w:val="29"/>
  </w:num>
  <w:num w:numId="6" w16cid:durableId="371854564">
    <w:abstractNumId w:val="29"/>
  </w:num>
  <w:num w:numId="7" w16cid:durableId="730346427">
    <w:abstractNumId w:val="29"/>
  </w:num>
  <w:num w:numId="8" w16cid:durableId="1141774985">
    <w:abstractNumId w:val="29"/>
  </w:num>
  <w:num w:numId="9" w16cid:durableId="751704888">
    <w:abstractNumId w:val="29"/>
  </w:num>
  <w:num w:numId="10" w16cid:durableId="2020809213">
    <w:abstractNumId w:val="26"/>
  </w:num>
  <w:num w:numId="11" w16cid:durableId="1530529485">
    <w:abstractNumId w:val="25"/>
  </w:num>
  <w:num w:numId="12" w16cid:durableId="601379931">
    <w:abstractNumId w:val="11"/>
  </w:num>
  <w:num w:numId="13" w16cid:durableId="232860760">
    <w:abstractNumId w:val="5"/>
  </w:num>
  <w:num w:numId="14" w16cid:durableId="73477609">
    <w:abstractNumId w:val="1"/>
  </w:num>
  <w:num w:numId="15" w16cid:durableId="2089647113">
    <w:abstractNumId w:val="6"/>
  </w:num>
  <w:num w:numId="16" w16cid:durableId="789789308">
    <w:abstractNumId w:val="18"/>
  </w:num>
  <w:num w:numId="17" w16cid:durableId="254483936">
    <w:abstractNumId w:val="9"/>
  </w:num>
  <w:num w:numId="18" w16cid:durableId="1376664239">
    <w:abstractNumId w:val="3"/>
  </w:num>
  <w:num w:numId="19" w16cid:durableId="384259666">
    <w:abstractNumId w:val="12"/>
  </w:num>
  <w:num w:numId="20" w16cid:durableId="1293563272">
    <w:abstractNumId w:val="23"/>
  </w:num>
  <w:num w:numId="21" w16cid:durableId="1078670969">
    <w:abstractNumId w:val="14"/>
  </w:num>
  <w:num w:numId="22" w16cid:durableId="395324869">
    <w:abstractNumId w:val="19"/>
  </w:num>
  <w:num w:numId="23" w16cid:durableId="224948528">
    <w:abstractNumId w:val="7"/>
  </w:num>
  <w:num w:numId="24" w16cid:durableId="814613108">
    <w:abstractNumId w:val="15"/>
  </w:num>
  <w:num w:numId="25" w16cid:durableId="387340759">
    <w:abstractNumId w:val="20"/>
  </w:num>
  <w:num w:numId="26" w16cid:durableId="1353653482">
    <w:abstractNumId w:val="2"/>
  </w:num>
  <w:num w:numId="27" w16cid:durableId="634989673">
    <w:abstractNumId w:val="21"/>
  </w:num>
  <w:num w:numId="28" w16cid:durableId="2050298121">
    <w:abstractNumId w:val="0"/>
  </w:num>
  <w:num w:numId="29" w16cid:durableId="143550700">
    <w:abstractNumId w:val="22"/>
  </w:num>
  <w:num w:numId="30" w16cid:durableId="1494182688">
    <w:abstractNumId w:val="27"/>
  </w:num>
  <w:num w:numId="31" w16cid:durableId="812406700">
    <w:abstractNumId w:val="10"/>
  </w:num>
  <w:num w:numId="32" w16cid:durableId="640304871">
    <w:abstractNumId w:val="16"/>
  </w:num>
  <w:num w:numId="33" w16cid:durableId="886527638">
    <w:abstractNumId w:val="4"/>
  </w:num>
  <w:num w:numId="34" w16cid:durableId="789327330">
    <w:abstractNumId w:val="28"/>
  </w:num>
  <w:num w:numId="35" w16cid:durableId="524174902">
    <w:abstractNumId w:val="17"/>
  </w:num>
  <w:num w:numId="36" w16cid:durableId="1488210226">
    <w:abstractNumId w:val="13"/>
  </w:num>
  <w:num w:numId="37" w16cid:durableId="586619874">
    <w:abstractNumId w:val="24"/>
  </w:num>
  <w:num w:numId="38" w16cid:durableId="1220552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3A1F"/>
    <w:rsid w:val="000A5463"/>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33E5"/>
    <w:rsid w:val="002058AF"/>
    <w:rsid w:val="0020610D"/>
    <w:rsid w:val="00216072"/>
    <w:rsid w:val="00224D9C"/>
    <w:rsid w:val="002251AF"/>
    <w:rsid w:val="00235114"/>
    <w:rsid w:val="00236A27"/>
    <w:rsid w:val="0024462C"/>
    <w:rsid w:val="0025396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A4D27"/>
    <w:rsid w:val="003B245B"/>
    <w:rsid w:val="003B3E78"/>
    <w:rsid w:val="003B4A29"/>
    <w:rsid w:val="003B6AC5"/>
    <w:rsid w:val="003B6DD8"/>
    <w:rsid w:val="003C3293"/>
    <w:rsid w:val="003D283D"/>
    <w:rsid w:val="003D4D14"/>
    <w:rsid w:val="003D7230"/>
    <w:rsid w:val="003D73D0"/>
    <w:rsid w:val="003E1314"/>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5788C"/>
    <w:rsid w:val="0046002B"/>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1AA0"/>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2FA"/>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97235"/>
    <w:rsid w:val="008A26A3"/>
    <w:rsid w:val="008A3198"/>
    <w:rsid w:val="008A421B"/>
    <w:rsid w:val="008A5B9B"/>
    <w:rsid w:val="008A6A18"/>
    <w:rsid w:val="008B3278"/>
    <w:rsid w:val="008B4469"/>
    <w:rsid w:val="008B5B34"/>
    <w:rsid w:val="008B6FE0"/>
    <w:rsid w:val="008C3F7B"/>
    <w:rsid w:val="008E64F8"/>
    <w:rsid w:val="008F12D4"/>
    <w:rsid w:val="008F20F0"/>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B9C"/>
    <w:rsid w:val="00A04D49"/>
    <w:rsid w:val="00A0512E"/>
    <w:rsid w:val="00A07F1B"/>
    <w:rsid w:val="00A133FB"/>
    <w:rsid w:val="00A22E67"/>
    <w:rsid w:val="00A24A4D"/>
    <w:rsid w:val="00A32253"/>
    <w:rsid w:val="00A33D4C"/>
    <w:rsid w:val="00A35350"/>
    <w:rsid w:val="00A50290"/>
    <w:rsid w:val="00A5663B"/>
    <w:rsid w:val="00A57999"/>
    <w:rsid w:val="00A66F36"/>
    <w:rsid w:val="00A73BC1"/>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163B"/>
    <w:rsid w:val="00B449A7"/>
    <w:rsid w:val="00B465F0"/>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4800"/>
    <w:rsid w:val="00D314AC"/>
    <w:rsid w:val="00D35A4C"/>
    <w:rsid w:val="00D37E77"/>
    <w:rsid w:val="00D4303F"/>
    <w:rsid w:val="00D43376"/>
    <w:rsid w:val="00D43BF3"/>
    <w:rsid w:val="00D43FB8"/>
    <w:rsid w:val="00D4455A"/>
    <w:rsid w:val="00D600D8"/>
    <w:rsid w:val="00D6502C"/>
    <w:rsid w:val="00D7519B"/>
    <w:rsid w:val="00D75F1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A95"/>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03E9"/>
    <w:rsid w:val="00EB40E0"/>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99B"/>
    <w:rsid w:val="00F97D08"/>
    <w:rsid w:val="00FA015E"/>
    <w:rsid w:val="00FA1B8F"/>
    <w:rsid w:val="00FA55E7"/>
    <w:rsid w:val="00FB6B3D"/>
    <w:rsid w:val="00FC4F7B"/>
    <w:rsid w:val="00FC61EC"/>
    <w:rsid w:val="00FC7B40"/>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df-feph.org/publications/the-next-eu-budget-must-keep-supporting-marginalised-groups/"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ommission.europa.eu/funding-tenders/find-funding/eu-funding-programmes/citizens-equality-rights-and-values-programme/citizens-equality-rights-and-values-programme-overview_en"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arl.europa.eu/thinktank/en/document/EPRS_BRI(2021)69054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c.europa.eu/commission/presscorner/detail/en/ip_25_486"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df-feph.org/ensuring-the-next-eu-budget-supports-our-right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B10E8"/>
    <w:rsid w:val="0020150E"/>
    <w:rsid w:val="0022005F"/>
    <w:rsid w:val="00235A8B"/>
    <w:rsid w:val="002406E0"/>
    <w:rsid w:val="002602F1"/>
    <w:rsid w:val="00293B11"/>
    <w:rsid w:val="00297E5F"/>
    <w:rsid w:val="002A1FF1"/>
    <w:rsid w:val="002A3CAA"/>
    <w:rsid w:val="002A7333"/>
    <w:rsid w:val="002B512C"/>
    <w:rsid w:val="002F45FB"/>
    <w:rsid w:val="0034726D"/>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33EE"/>
    <w:rsid w:val="005E1DE4"/>
    <w:rsid w:val="005F2E43"/>
    <w:rsid w:val="005F7255"/>
    <w:rsid w:val="006247F1"/>
    <w:rsid w:val="006773AC"/>
    <w:rsid w:val="00687F84"/>
    <w:rsid w:val="006D5F30"/>
    <w:rsid w:val="006E02D2"/>
    <w:rsid w:val="00721A44"/>
    <w:rsid w:val="007633BB"/>
    <w:rsid w:val="00764CEE"/>
    <w:rsid w:val="00784219"/>
    <w:rsid w:val="0078623D"/>
    <w:rsid w:val="007A5F66"/>
    <w:rsid w:val="007B2A29"/>
    <w:rsid w:val="007E68A8"/>
    <w:rsid w:val="007E72FA"/>
    <w:rsid w:val="00805655"/>
    <w:rsid w:val="008066E1"/>
    <w:rsid w:val="00811EB9"/>
    <w:rsid w:val="008309F4"/>
    <w:rsid w:val="0084662F"/>
    <w:rsid w:val="008841E4"/>
    <w:rsid w:val="008C7782"/>
    <w:rsid w:val="008D6691"/>
    <w:rsid w:val="008F20F0"/>
    <w:rsid w:val="008F29E7"/>
    <w:rsid w:val="009274BF"/>
    <w:rsid w:val="0093298F"/>
    <w:rsid w:val="009E6B48"/>
    <w:rsid w:val="009F388D"/>
    <w:rsid w:val="00A03DCE"/>
    <w:rsid w:val="00A13A66"/>
    <w:rsid w:val="00A173A4"/>
    <w:rsid w:val="00A3326E"/>
    <w:rsid w:val="00A408D9"/>
    <w:rsid w:val="00A51A75"/>
    <w:rsid w:val="00A75452"/>
    <w:rsid w:val="00AC0CBD"/>
    <w:rsid w:val="00AC6CD1"/>
    <w:rsid w:val="00AD5A3A"/>
    <w:rsid w:val="00AE1F4C"/>
    <w:rsid w:val="00AE4FA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00A57"/>
    <w:rsid w:val="00F22D0D"/>
    <w:rsid w:val="00F25CA7"/>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1007</TotalTime>
  <Pages>2</Pages>
  <Words>621</Words>
  <Characters>3358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2025-02-19T13:51:00Z</dcterms:created>
  <dcterms:modified xsi:type="dcterms:W3CDTF">2025-02-20T06:40:00Z</dcterms:modified>
  <cp:contentStatus/>
  <dc:language>Ελληνικά</dc:language>
  <cp:version>am-20180624</cp:version>
</cp:coreProperties>
</file>